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66A8A" w14:textId="77777777" w:rsidR="00AC41D4" w:rsidRPr="000512DD" w:rsidRDefault="00AC41D4" w:rsidP="00AC41D4">
      <w:pPr>
        <w:pStyle w:val="Title"/>
        <w:rPr>
          <w:rFonts w:ascii="Calibri" w:hAnsi="Calibri"/>
        </w:rPr>
      </w:pPr>
      <w:r w:rsidRPr="000512DD">
        <w:rPr>
          <w:rFonts w:ascii="Calibri" w:hAnsi="Calibri"/>
        </w:rPr>
        <w:t xml:space="preserve">Castleman healthcare ltd </w:t>
      </w:r>
    </w:p>
    <w:p w14:paraId="03B1EF87" w14:textId="77777777" w:rsidR="00AC41D4" w:rsidRPr="000512DD" w:rsidRDefault="00AC41D4" w:rsidP="00AC41D4">
      <w:pPr>
        <w:pStyle w:val="Title"/>
        <w:rPr>
          <w:rFonts w:ascii="Calibri" w:hAnsi="Calibri"/>
        </w:rPr>
      </w:pPr>
      <w:r w:rsidRPr="000512DD">
        <w:rPr>
          <w:rFonts w:ascii="Calibri" w:hAnsi="Calibri"/>
        </w:rPr>
        <w:t xml:space="preserve">group policies and procedures </w:t>
      </w:r>
    </w:p>
    <w:p w14:paraId="5C3EB4C8" w14:textId="77777777" w:rsidR="00C15FAF" w:rsidRPr="000512DD" w:rsidRDefault="00AC6F43">
      <w:pPr>
        <w:pStyle w:val="Heading1"/>
        <w:rPr>
          <w:rFonts w:ascii="Calibri" w:hAnsi="Calibri"/>
          <w:sz w:val="36"/>
          <w:szCs w:val="36"/>
        </w:rPr>
      </w:pPr>
      <w:r>
        <w:rPr>
          <w:rFonts w:ascii="Calibri" w:hAnsi="Calibri"/>
          <w:sz w:val="36"/>
          <w:szCs w:val="36"/>
        </w:rPr>
        <w:t xml:space="preserve">Safeguarding </w:t>
      </w:r>
      <w:r w:rsidR="00662F95">
        <w:rPr>
          <w:rFonts w:ascii="Calibri" w:hAnsi="Calibri"/>
          <w:sz w:val="36"/>
          <w:szCs w:val="36"/>
        </w:rPr>
        <w:t>adults at risk</w:t>
      </w:r>
      <w:r>
        <w:rPr>
          <w:rFonts w:ascii="Calibri" w:hAnsi="Calibri"/>
          <w:sz w:val="36"/>
          <w:szCs w:val="36"/>
        </w:rPr>
        <w:t xml:space="preserve"> policy</w:t>
      </w:r>
      <w:r>
        <w:rPr>
          <w:rFonts w:ascii="Calibri" w:hAnsi="Calibri"/>
          <w:sz w:val="36"/>
          <w:szCs w:val="36"/>
        </w:rPr>
        <w:tab/>
      </w:r>
    </w:p>
    <w:p w14:paraId="6CAA32F9" w14:textId="77777777" w:rsidR="00C15FAF" w:rsidRPr="000512DD" w:rsidRDefault="00A40178">
      <w:pPr>
        <w:rPr>
          <w:rFonts w:ascii="Calibri" w:hAnsi="Calibri"/>
        </w:rPr>
      </w:pPr>
      <w:r w:rsidRPr="000512DD">
        <w:rPr>
          <w:rFonts w:ascii="Calibri" w:hAnsi="Calibri"/>
        </w:rPr>
        <w:t xml:space="preserve"> </w:t>
      </w:r>
    </w:p>
    <w:tbl>
      <w:tblPr>
        <w:tblStyle w:val="TableGrid"/>
        <w:tblW w:w="0" w:type="auto"/>
        <w:tblLook w:val="04A0" w:firstRow="1" w:lastRow="0" w:firstColumn="1" w:lastColumn="0" w:noHBand="0" w:noVBand="1"/>
      </w:tblPr>
      <w:tblGrid>
        <w:gridCol w:w="2821"/>
        <w:gridCol w:w="6719"/>
      </w:tblGrid>
      <w:tr w:rsidR="00A40178" w:rsidRPr="000512DD" w14:paraId="33C0AA6C" w14:textId="77777777" w:rsidTr="00196599">
        <w:tc>
          <w:tcPr>
            <w:tcW w:w="2943" w:type="dxa"/>
            <w:shd w:val="clear" w:color="auto" w:fill="099BDD" w:themeFill="text2"/>
          </w:tcPr>
          <w:p w14:paraId="58725DE3" w14:textId="77777777" w:rsidR="00A40178" w:rsidRPr="000512DD" w:rsidRDefault="00A40178" w:rsidP="00196599">
            <w:pPr>
              <w:pStyle w:val="Heading6"/>
              <w:outlineLvl w:val="5"/>
              <w:rPr>
                <w:rFonts w:ascii="Calibri" w:hAnsi="Calibri"/>
                <w:b/>
                <w:color w:val="FFFFFF" w:themeColor="background1"/>
                <w:sz w:val="28"/>
                <w:szCs w:val="28"/>
              </w:rPr>
            </w:pPr>
            <w:r w:rsidRPr="000512DD">
              <w:rPr>
                <w:rFonts w:ascii="Calibri" w:hAnsi="Calibri"/>
                <w:color w:val="FFFFFF" w:themeColor="background1"/>
                <w:sz w:val="28"/>
                <w:szCs w:val="28"/>
              </w:rPr>
              <w:t>Category</w:t>
            </w:r>
          </w:p>
        </w:tc>
        <w:tc>
          <w:tcPr>
            <w:tcW w:w="7353" w:type="dxa"/>
          </w:tcPr>
          <w:p w14:paraId="3688A8CE" w14:textId="77777777" w:rsidR="00A40178" w:rsidRPr="000512DD" w:rsidRDefault="00AC6F43" w:rsidP="004379FC">
            <w:pPr>
              <w:spacing w:after="200" w:line="276" w:lineRule="auto"/>
              <w:rPr>
                <w:rFonts w:ascii="Calibri" w:hAnsi="Calibri"/>
                <w:sz w:val="28"/>
                <w:szCs w:val="28"/>
              </w:rPr>
            </w:pPr>
            <w:r>
              <w:rPr>
                <w:rFonts w:ascii="Calibri" w:hAnsi="Calibri"/>
                <w:sz w:val="28"/>
                <w:szCs w:val="28"/>
              </w:rPr>
              <w:t xml:space="preserve">Corporate Governance </w:t>
            </w:r>
          </w:p>
        </w:tc>
      </w:tr>
      <w:tr w:rsidR="00A40178" w:rsidRPr="000512DD" w14:paraId="06861AC3" w14:textId="77777777" w:rsidTr="00196599">
        <w:tc>
          <w:tcPr>
            <w:tcW w:w="2943" w:type="dxa"/>
            <w:shd w:val="clear" w:color="auto" w:fill="099BDD" w:themeFill="text2"/>
          </w:tcPr>
          <w:p w14:paraId="0156C4EF" w14:textId="77777777" w:rsidR="00A40178" w:rsidRPr="000512DD" w:rsidRDefault="00A40178" w:rsidP="00196599">
            <w:pPr>
              <w:pStyle w:val="Heading6"/>
              <w:outlineLvl w:val="5"/>
              <w:rPr>
                <w:rFonts w:ascii="Calibri" w:hAnsi="Calibri"/>
                <w:b/>
                <w:color w:val="FFFFFF" w:themeColor="background1"/>
                <w:sz w:val="28"/>
                <w:szCs w:val="28"/>
              </w:rPr>
            </w:pPr>
            <w:r w:rsidRPr="000512DD">
              <w:rPr>
                <w:rFonts w:ascii="Calibri" w:hAnsi="Calibri"/>
                <w:color w:val="FFFFFF" w:themeColor="background1"/>
                <w:sz w:val="28"/>
                <w:szCs w:val="28"/>
              </w:rPr>
              <w:t>Author</w:t>
            </w:r>
          </w:p>
        </w:tc>
        <w:tc>
          <w:tcPr>
            <w:tcW w:w="7353" w:type="dxa"/>
          </w:tcPr>
          <w:p w14:paraId="78CDB42D" w14:textId="77777777" w:rsidR="00A40178" w:rsidRPr="000512DD" w:rsidRDefault="00A40178" w:rsidP="00196599">
            <w:pPr>
              <w:spacing w:after="200" w:line="276" w:lineRule="auto"/>
              <w:rPr>
                <w:rFonts w:ascii="Calibri" w:hAnsi="Calibri"/>
                <w:sz w:val="28"/>
                <w:szCs w:val="28"/>
              </w:rPr>
            </w:pPr>
            <w:r w:rsidRPr="000512DD">
              <w:rPr>
                <w:rFonts w:ascii="Calibri" w:hAnsi="Calibri"/>
                <w:sz w:val="28"/>
                <w:szCs w:val="28"/>
              </w:rPr>
              <w:t>Castleman Healthcare</w:t>
            </w:r>
            <w:r w:rsidR="001D7BDE" w:rsidRPr="000512DD">
              <w:rPr>
                <w:rFonts w:ascii="Calibri" w:hAnsi="Calibri"/>
                <w:sz w:val="28"/>
                <w:szCs w:val="28"/>
              </w:rPr>
              <w:t xml:space="preserve"> Ltd</w:t>
            </w:r>
          </w:p>
        </w:tc>
      </w:tr>
      <w:tr w:rsidR="00A40178" w:rsidRPr="000512DD" w14:paraId="45A29852" w14:textId="77777777" w:rsidTr="00196599">
        <w:tc>
          <w:tcPr>
            <w:tcW w:w="2943" w:type="dxa"/>
            <w:shd w:val="clear" w:color="auto" w:fill="099BDD" w:themeFill="text2"/>
          </w:tcPr>
          <w:p w14:paraId="61BD65F5" w14:textId="77777777" w:rsidR="00A40178" w:rsidRPr="000512DD" w:rsidRDefault="00A40178" w:rsidP="00196599">
            <w:pPr>
              <w:pStyle w:val="Heading6"/>
              <w:outlineLvl w:val="5"/>
              <w:rPr>
                <w:rFonts w:ascii="Calibri" w:hAnsi="Calibri"/>
                <w:b/>
                <w:color w:val="FFFFFF" w:themeColor="background1"/>
                <w:sz w:val="28"/>
                <w:szCs w:val="28"/>
              </w:rPr>
            </w:pPr>
            <w:r w:rsidRPr="000512DD">
              <w:rPr>
                <w:rFonts w:ascii="Calibri" w:hAnsi="Calibri"/>
                <w:color w:val="FFFFFF" w:themeColor="background1"/>
                <w:sz w:val="28"/>
                <w:szCs w:val="28"/>
              </w:rPr>
              <w:t>Responsible Director</w:t>
            </w:r>
          </w:p>
        </w:tc>
        <w:tc>
          <w:tcPr>
            <w:tcW w:w="7353" w:type="dxa"/>
          </w:tcPr>
          <w:p w14:paraId="39FD4DE8" w14:textId="77777777" w:rsidR="00A40178" w:rsidRPr="000512DD" w:rsidRDefault="00AC6F43" w:rsidP="00196599">
            <w:pPr>
              <w:spacing w:after="200" w:line="276" w:lineRule="auto"/>
              <w:rPr>
                <w:rFonts w:ascii="Calibri" w:hAnsi="Calibri"/>
                <w:sz w:val="28"/>
                <w:szCs w:val="28"/>
              </w:rPr>
            </w:pPr>
            <w:proofErr w:type="spellStart"/>
            <w:r>
              <w:rPr>
                <w:rFonts w:ascii="Calibri" w:hAnsi="Calibri"/>
                <w:sz w:val="28"/>
                <w:szCs w:val="28"/>
              </w:rPr>
              <w:t>Dr</w:t>
            </w:r>
            <w:proofErr w:type="spellEnd"/>
            <w:r>
              <w:rPr>
                <w:rFonts w:ascii="Calibri" w:hAnsi="Calibri"/>
                <w:sz w:val="28"/>
                <w:szCs w:val="28"/>
              </w:rPr>
              <w:t xml:space="preserve"> Dominic Hennessy</w:t>
            </w:r>
          </w:p>
        </w:tc>
      </w:tr>
      <w:tr w:rsidR="00A40178" w:rsidRPr="000512DD" w14:paraId="6FBC6A73" w14:textId="77777777" w:rsidTr="00196599">
        <w:tc>
          <w:tcPr>
            <w:tcW w:w="2943" w:type="dxa"/>
            <w:shd w:val="clear" w:color="auto" w:fill="099BDD" w:themeFill="text2"/>
          </w:tcPr>
          <w:p w14:paraId="09BA4FDE" w14:textId="77777777" w:rsidR="00A40178" w:rsidRPr="000512DD" w:rsidRDefault="00A40178" w:rsidP="00196599">
            <w:pPr>
              <w:pStyle w:val="Heading6"/>
              <w:outlineLvl w:val="5"/>
              <w:rPr>
                <w:rFonts w:ascii="Calibri" w:hAnsi="Calibri"/>
                <w:b/>
                <w:color w:val="FFFFFF" w:themeColor="background1"/>
                <w:sz w:val="28"/>
                <w:szCs w:val="28"/>
              </w:rPr>
            </w:pPr>
            <w:r w:rsidRPr="000512DD">
              <w:rPr>
                <w:rFonts w:ascii="Calibri" w:hAnsi="Calibri"/>
                <w:color w:val="FFFFFF" w:themeColor="background1"/>
                <w:sz w:val="28"/>
                <w:szCs w:val="28"/>
              </w:rPr>
              <w:t>Date of issue</w:t>
            </w:r>
          </w:p>
        </w:tc>
        <w:tc>
          <w:tcPr>
            <w:tcW w:w="7353" w:type="dxa"/>
          </w:tcPr>
          <w:p w14:paraId="4B96B577" w14:textId="1727B716" w:rsidR="00A40178" w:rsidRPr="000512DD" w:rsidRDefault="00FC4121" w:rsidP="00196599">
            <w:pPr>
              <w:spacing w:after="200" w:line="276" w:lineRule="auto"/>
              <w:rPr>
                <w:rFonts w:ascii="Calibri" w:hAnsi="Calibri"/>
                <w:sz w:val="28"/>
                <w:szCs w:val="28"/>
              </w:rPr>
            </w:pPr>
            <w:r>
              <w:rPr>
                <w:rFonts w:ascii="Calibri" w:hAnsi="Calibri"/>
                <w:sz w:val="28"/>
                <w:szCs w:val="28"/>
              </w:rPr>
              <w:t xml:space="preserve">February </w:t>
            </w:r>
            <w:r w:rsidR="00C34A88">
              <w:rPr>
                <w:rFonts w:ascii="Calibri" w:hAnsi="Calibri"/>
                <w:sz w:val="28"/>
                <w:szCs w:val="28"/>
              </w:rPr>
              <w:t xml:space="preserve">2017 </w:t>
            </w:r>
          </w:p>
        </w:tc>
      </w:tr>
      <w:tr w:rsidR="00A40178" w:rsidRPr="000512DD" w14:paraId="7BE6DC9D" w14:textId="77777777" w:rsidTr="00196599">
        <w:tc>
          <w:tcPr>
            <w:tcW w:w="2943" w:type="dxa"/>
            <w:shd w:val="clear" w:color="auto" w:fill="099BDD" w:themeFill="text2"/>
          </w:tcPr>
          <w:p w14:paraId="2A4C9DE9" w14:textId="77777777" w:rsidR="00A40178" w:rsidRPr="000512DD" w:rsidRDefault="00A40178" w:rsidP="00196599">
            <w:pPr>
              <w:pStyle w:val="Heading6"/>
              <w:outlineLvl w:val="5"/>
              <w:rPr>
                <w:rFonts w:ascii="Calibri" w:hAnsi="Calibri"/>
                <w:b/>
                <w:color w:val="FFFFFF" w:themeColor="background1"/>
                <w:sz w:val="28"/>
                <w:szCs w:val="28"/>
              </w:rPr>
            </w:pPr>
            <w:r w:rsidRPr="000512DD">
              <w:rPr>
                <w:rFonts w:ascii="Calibri" w:hAnsi="Calibri"/>
                <w:color w:val="FFFFFF" w:themeColor="background1"/>
                <w:sz w:val="28"/>
                <w:szCs w:val="28"/>
              </w:rPr>
              <w:t>Next review date</w:t>
            </w:r>
          </w:p>
        </w:tc>
        <w:tc>
          <w:tcPr>
            <w:tcW w:w="7353" w:type="dxa"/>
          </w:tcPr>
          <w:p w14:paraId="5852CF48" w14:textId="77777777" w:rsidR="00A40178" w:rsidRPr="000512DD" w:rsidRDefault="00A40178" w:rsidP="00196599">
            <w:pPr>
              <w:spacing w:after="200" w:line="276" w:lineRule="auto"/>
              <w:rPr>
                <w:rFonts w:ascii="Calibri" w:hAnsi="Calibri"/>
                <w:sz w:val="28"/>
                <w:szCs w:val="28"/>
              </w:rPr>
            </w:pPr>
            <w:r w:rsidRPr="000512DD">
              <w:rPr>
                <w:rFonts w:ascii="Calibri" w:hAnsi="Calibri"/>
                <w:sz w:val="28"/>
                <w:szCs w:val="28"/>
              </w:rPr>
              <w:t>July 2017</w:t>
            </w:r>
          </w:p>
        </w:tc>
      </w:tr>
      <w:tr w:rsidR="00A40178" w:rsidRPr="000512DD" w14:paraId="393205A9" w14:textId="77777777" w:rsidTr="00196599">
        <w:tc>
          <w:tcPr>
            <w:tcW w:w="2943" w:type="dxa"/>
            <w:shd w:val="clear" w:color="auto" w:fill="099BDD" w:themeFill="text2"/>
          </w:tcPr>
          <w:p w14:paraId="62AA5C9B" w14:textId="77777777" w:rsidR="00A40178" w:rsidRPr="000512DD" w:rsidRDefault="00A40178" w:rsidP="00196599">
            <w:pPr>
              <w:pStyle w:val="Heading6"/>
              <w:outlineLvl w:val="5"/>
              <w:rPr>
                <w:rFonts w:ascii="Calibri" w:hAnsi="Calibri"/>
                <w:b/>
                <w:color w:val="FFFFFF" w:themeColor="background1"/>
                <w:sz w:val="28"/>
                <w:szCs w:val="28"/>
              </w:rPr>
            </w:pPr>
            <w:r w:rsidRPr="000512DD">
              <w:rPr>
                <w:rFonts w:ascii="Calibri" w:hAnsi="Calibri"/>
                <w:color w:val="FFFFFF" w:themeColor="background1"/>
                <w:sz w:val="28"/>
                <w:szCs w:val="28"/>
              </w:rPr>
              <w:t>Document ref &amp; version</w:t>
            </w:r>
          </w:p>
        </w:tc>
        <w:tc>
          <w:tcPr>
            <w:tcW w:w="7353" w:type="dxa"/>
          </w:tcPr>
          <w:p w14:paraId="3CAFA3F7" w14:textId="77777777" w:rsidR="00A40178" w:rsidRPr="000512DD" w:rsidRDefault="00A40178" w:rsidP="00196599">
            <w:pPr>
              <w:spacing w:after="200" w:line="276" w:lineRule="auto"/>
              <w:rPr>
                <w:rFonts w:ascii="Calibri" w:hAnsi="Calibri"/>
                <w:sz w:val="28"/>
                <w:szCs w:val="28"/>
              </w:rPr>
            </w:pPr>
            <w:r w:rsidRPr="000512DD">
              <w:rPr>
                <w:rFonts w:ascii="Calibri" w:hAnsi="Calibri"/>
                <w:sz w:val="28"/>
                <w:szCs w:val="28"/>
              </w:rPr>
              <w:t xml:space="preserve"> </w:t>
            </w:r>
            <w:r w:rsidR="00250FE3">
              <w:rPr>
                <w:rFonts w:ascii="Calibri" w:hAnsi="Calibri"/>
                <w:sz w:val="28"/>
                <w:szCs w:val="28"/>
              </w:rPr>
              <w:t xml:space="preserve">Safeguarding </w:t>
            </w:r>
            <w:r w:rsidR="00662F95">
              <w:rPr>
                <w:rFonts w:ascii="Calibri" w:hAnsi="Calibri"/>
                <w:sz w:val="28"/>
                <w:szCs w:val="28"/>
              </w:rPr>
              <w:t>Adults at Risk Policy</w:t>
            </w:r>
            <w:r w:rsidR="00250FE3">
              <w:rPr>
                <w:rFonts w:ascii="Calibri" w:hAnsi="Calibri"/>
                <w:sz w:val="28"/>
                <w:szCs w:val="28"/>
              </w:rPr>
              <w:t xml:space="preserve"> </w:t>
            </w:r>
          </w:p>
        </w:tc>
      </w:tr>
    </w:tbl>
    <w:p w14:paraId="4F0FF072" w14:textId="77777777" w:rsidR="00A40178" w:rsidRPr="000512DD" w:rsidRDefault="00A40178" w:rsidP="00A40178">
      <w:pPr>
        <w:spacing w:line="276" w:lineRule="auto"/>
        <w:rPr>
          <w:rFonts w:ascii="Calibri" w:hAnsi="Calibri"/>
          <w:b/>
          <w:color w:val="099BDD" w:themeColor="text2"/>
          <w:sz w:val="24"/>
          <w:szCs w:val="24"/>
        </w:rPr>
      </w:pPr>
      <w:r w:rsidRPr="000512DD">
        <w:rPr>
          <w:rFonts w:ascii="Calibri" w:hAnsi="Calibri"/>
          <w:b/>
          <w:color w:val="099BDD" w:themeColor="text2"/>
          <w:sz w:val="24"/>
          <w:szCs w:val="24"/>
        </w:rPr>
        <w:t>Related policies and guidance</w:t>
      </w:r>
    </w:p>
    <w:p w14:paraId="31882D44" w14:textId="77777777" w:rsidR="00A40178" w:rsidRPr="000512DD" w:rsidRDefault="001D7BDE" w:rsidP="00721E74">
      <w:pPr>
        <w:pStyle w:val="ListParagraph"/>
        <w:numPr>
          <w:ilvl w:val="0"/>
          <w:numId w:val="1"/>
        </w:numPr>
        <w:spacing w:line="276" w:lineRule="auto"/>
        <w:rPr>
          <w:rFonts w:ascii="Calibri" w:hAnsi="Calibri"/>
          <w:b/>
          <w:sz w:val="24"/>
          <w:szCs w:val="24"/>
        </w:rPr>
      </w:pPr>
      <w:r w:rsidRPr="000512DD">
        <w:rPr>
          <w:rFonts w:ascii="Calibri" w:hAnsi="Calibri"/>
          <w:b/>
          <w:sz w:val="24"/>
          <w:szCs w:val="24"/>
        </w:rPr>
        <w:t xml:space="preserve"> </w:t>
      </w:r>
      <w:bookmarkStart w:id="0" w:name="_GoBack"/>
      <w:bookmarkEnd w:id="0"/>
    </w:p>
    <w:p w14:paraId="503D5A1A" w14:textId="77777777" w:rsidR="00A40178" w:rsidRPr="000512DD" w:rsidRDefault="00A40178" w:rsidP="00A40178">
      <w:pPr>
        <w:spacing w:line="276" w:lineRule="auto"/>
        <w:rPr>
          <w:rFonts w:ascii="Calibri" w:hAnsi="Calibri"/>
          <w:b/>
          <w:color w:val="099BDD" w:themeColor="text2"/>
          <w:sz w:val="24"/>
          <w:szCs w:val="24"/>
        </w:rPr>
      </w:pPr>
      <w:r w:rsidRPr="000512DD">
        <w:rPr>
          <w:rFonts w:ascii="Calibri" w:hAnsi="Calibri"/>
          <w:b/>
          <w:color w:val="099BDD" w:themeColor="text2"/>
          <w:sz w:val="24"/>
          <w:szCs w:val="24"/>
        </w:rPr>
        <w:t>Document revision and approval history</w:t>
      </w:r>
    </w:p>
    <w:tbl>
      <w:tblPr>
        <w:tblStyle w:val="TableGrid"/>
        <w:tblW w:w="0" w:type="auto"/>
        <w:tblLook w:val="04A0" w:firstRow="1" w:lastRow="0" w:firstColumn="1" w:lastColumn="0" w:noHBand="0" w:noVBand="1"/>
      </w:tblPr>
      <w:tblGrid>
        <w:gridCol w:w="1195"/>
        <w:gridCol w:w="1069"/>
        <w:gridCol w:w="850"/>
        <w:gridCol w:w="1417"/>
        <w:gridCol w:w="5009"/>
      </w:tblGrid>
      <w:tr w:rsidR="00A40178" w:rsidRPr="000512DD" w14:paraId="49B31D5C" w14:textId="77777777" w:rsidTr="001F76E7">
        <w:tc>
          <w:tcPr>
            <w:tcW w:w="1195" w:type="dxa"/>
            <w:shd w:val="clear" w:color="auto" w:fill="099BDD" w:themeFill="text2"/>
          </w:tcPr>
          <w:p w14:paraId="5CB66D76" w14:textId="77777777" w:rsidR="00A40178" w:rsidRPr="000512DD" w:rsidRDefault="00A40178" w:rsidP="00196599">
            <w:pPr>
              <w:spacing w:after="200" w:line="276" w:lineRule="auto"/>
              <w:rPr>
                <w:rFonts w:ascii="Calibri" w:hAnsi="Calibri"/>
                <w:color w:val="FFFFFF" w:themeColor="background1"/>
              </w:rPr>
            </w:pPr>
            <w:r w:rsidRPr="000512DD">
              <w:rPr>
                <w:rFonts w:ascii="Calibri" w:hAnsi="Calibri"/>
                <w:color w:val="FFFFFF" w:themeColor="background1"/>
              </w:rPr>
              <w:t>Version</w:t>
            </w:r>
          </w:p>
        </w:tc>
        <w:tc>
          <w:tcPr>
            <w:tcW w:w="1069" w:type="dxa"/>
            <w:shd w:val="clear" w:color="auto" w:fill="099BDD" w:themeFill="text2"/>
          </w:tcPr>
          <w:p w14:paraId="5D9235C9" w14:textId="77777777" w:rsidR="00A40178" w:rsidRPr="000512DD" w:rsidRDefault="00A40178" w:rsidP="00196599">
            <w:pPr>
              <w:spacing w:after="200" w:line="276" w:lineRule="auto"/>
              <w:rPr>
                <w:rFonts w:ascii="Calibri" w:hAnsi="Calibri"/>
                <w:color w:val="FFFFFF" w:themeColor="background1"/>
              </w:rPr>
            </w:pPr>
            <w:r w:rsidRPr="000512DD">
              <w:rPr>
                <w:rFonts w:ascii="Calibri" w:hAnsi="Calibri"/>
                <w:color w:val="FFFFFF" w:themeColor="background1"/>
              </w:rPr>
              <w:t>Date</w:t>
            </w:r>
          </w:p>
        </w:tc>
        <w:tc>
          <w:tcPr>
            <w:tcW w:w="850" w:type="dxa"/>
            <w:shd w:val="clear" w:color="auto" w:fill="099BDD" w:themeFill="text2"/>
          </w:tcPr>
          <w:p w14:paraId="4D264BC4" w14:textId="77777777" w:rsidR="00A40178" w:rsidRPr="000512DD" w:rsidRDefault="00A40178" w:rsidP="00196599">
            <w:pPr>
              <w:spacing w:after="200" w:line="276" w:lineRule="auto"/>
              <w:rPr>
                <w:rFonts w:ascii="Calibri" w:hAnsi="Calibri"/>
                <w:color w:val="FFFFFF" w:themeColor="background1"/>
              </w:rPr>
            </w:pPr>
            <w:r w:rsidRPr="000512DD">
              <w:rPr>
                <w:rFonts w:ascii="Calibri" w:hAnsi="Calibri"/>
                <w:color w:val="FFFFFF" w:themeColor="background1"/>
              </w:rPr>
              <w:t>Author</w:t>
            </w:r>
          </w:p>
        </w:tc>
        <w:tc>
          <w:tcPr>
            <w:tcW w:w="1417" w:type="dxa"/>
            <w:shd w:val="clear" w:color="auto" w:fill="099BDD" w:themeFill="text2"/>
          </w:tcPr>
          <w:p w14:paraId="51357FAF" w14:textId="77777777" w:rsidR="00A40178" w:rsidRPr="000512DD" w:rsidRDefault="00A40178" w:rsidP="00196599">
            <w:pPr>
              <w:spacing w:after="200" w:line="276" w:lineRule="auto"/>
              <w:rPr>
                <w:rFonts w:ascii="Calibri" w:hAnsi="Calibri"/>
                <w:color w:val="FFFFFF" w:themeColor="background1"/>
              </w:rPr>
            </w:pPr>
            <w:r w:rsidRPr="000512DD">
              <w:rPr>
                <w:rFonts w:ascii="Calibri" w:hAnsi="Calibri"/>
                <w:color w:val="FFFFFF" w:themeColor="background1"/>
              </w:rPr>
              <w:t>Approved by</w:t>
            </w:r>
          </w:p>
        </w:tc>
        <w:tc>
          <w:tcPr>
            <w:tcW w:w="5009" w:type="dxa"/>
            <w:shd w:val="clear" w:color="auto" w:fill="099BDD" w:themeFill="text2"/>
          </w:tcPr>
          <w:p w14:paraId="0C70427B" w14:textId="77777777" w:rsidR="00A40178" w:rsidRPr="000512DD" w:rsidRDefault="00A40178" w:rsidP="00196599">
            <w:pPr>
              <w:spacing w:after="200" w:line="276" w:lineRule="auto"/>
              <w:rPr>
                <w:rFonts w:ascii="Calibri" w:hAnsi="Calibri"/>
                <w:color w:val="FFFFFF" w:themeColor="background1"/>
              </w:rPr>
            </w:pPr>
            <w:r w:rsidRPr="000512DD">
              <w:rPr>
                <w:rFonts w:ascii="Calibri" w:hAnsi="Calibri"/>
                <w:color w:val="FFFFFF" w:themeColor="background1"/>
              </w:rPr>
              <w:t>Comments</w:t>
            </w:r>
          </w:p>
        </w:tc>
      </w:tr>
      <w:tr w:rsidR="00A40178" w:rsidRPr="000512DD" w14:paraId="67176AEC" w14:textId="77777777" w:rsidTr="001F76E7">
        <w:tc>
          <w:tcPr>
            <w:tcW w:w="1195" w:type="dxa"/>
          </w:tcPr>
          <w:p w14:paraId="777A207E" w14:textId="77777777" w:rsidR="00A40178" w:rsidRPr="000512DD" w:rsidRDefault="00A40178" w:rsidP="00196599">
            <w:pPr>
              <w:spacing w:after="200" w:line="276" w:lineRule="auto"/>
              <w:rPr>
                <w:rFonts w:ascii="Calibri" w:hAnsi="Calibri"/>
              </w:rPr>
            </w:pPr>
            <w:r w:rsidRPr="000512DD">
              <w:rPr>
                <w:rFonts w:ascii="Calibri" w:hAnsi="Calibri"/>
              </w:rPr>
              <w:t>V1</w:t>
            </w:r>
          </w:p>
        </w:tc>
        <w:tc>
          <w:tcPr>
            <w:tcW w:w="1069" w:type="dxa"/>
          </w:tcPr>
          <w:p w14:paraId="233D8C51" w14:textId="77777777" w:rsidR="00A40178" w:rsidRPr="000512DD" w:rsidRDefault="00B26406" w:rsidP="00196599">
            <w:pPr>
              <w:spacing w:after="200" w:line="276" w:lineRule="auto"/>
              <w:rPr>
                <w:rFonts w:ascii="Calibri" w:hAnsi="Calibri"/>
              </w:rPr>
            </w:pPr>
            <w:r w:rsidRPr="000512DD">
              <w:rPr>
                <w:rFonts w:ascii="Calibri" w:hAnsi="Calibri"/>
              </w:rPr>
              <w:t xml:space="preserve"> </w:t>
            </w:r>
            <w:r w:rsidR="00250FE3">
              <w:rPr>
                <w:rFonts w:ascii="Calibri" w:hAnsi="Calibri"/>
              </w:rPr>
              <w:t>Sept 16</w:t>
            </w:r>
          </w:p>
        </w:tc>
        <w:tc>
          <w:tcPr>
            <w:tcW w:w="850" w:type="dxa"/>
          </w:tcPr>
          <w:p w14:paraId="0B3CD3B9" w14:textId="77777777" w:rsidR="00A40178" w:rsidRPr="000512DD" w:rsidRDefault="001D7BDE" w:rsidP="00196599">
            <w:pPr>
              <w:spacing w:after="200" w:line="276" w:lineRule="auto"/>
              <w:rPr>
                <w:rFonts w:ascii="Calibri" w:hAnsi="Calibri"/>
              </w:rPr>
            </w:pPr>
            <w:r w:rsidRPr="000512DD">
              <w:rPr>
                <w:rFonts w:ascii="Calibri" w:hAnsi="Calibri"/>
              </w:rPr>
              <w:t xml:space="preserve"> </w:t>
            </w:r>
          </w:p>
        </w:tc>
        <w:tc>
          <w:tcPr>
            <w:tcW w:w="1417" w:type="dxa"/>
          </w:tcPr>
          <w:p w14:paraId="379320F2" w14:textId="77777777" w:rsidR="00A40178" w:rsidRPr="000512DD" w:rsidRDefault="00A40178" w:rsidP="00196599">
            <w:pPr>
              <w:spacing w:after="200" w:line="276" w:lineRule="auto"/>
              <w:rPr>
                <w:rFonts w:ascii="Calibri" w:hAnsi="Calibri"/>
              </w:rPr>
            </w:pPr>
          </w:p>
        </w:tc>
        <w:tc>
          <w:tcPr>
            <w:tcW w:w="5009" w:type="dxa"/>
          </w:tcPr>
          <w:p w14:paraId="2263BB5C" w14:textId="77777777" w:rsidR="00A40178" w:rsidRPr="000512DD" w:rsidRDefault="00250FE3" w:rsidP="00196599">
            <w:pPr>
              <w:spacing w:after="200" w:line="276" w:lineRule="auto"/>
              <w:rPr>
                <w:rFonts w:ascii="Calibri" w:hAnsi="Calibri"/>
              </w:rPr>
            </w:pPr>
            <w:r>
              <w:rPr>
                <w:rFonts w:ascii="Calibri" w:hAnsi="Calibri"/>
              </w:rPr>
              <w:t xml:space="preserve">Reviewed minor edits made </w:t>
            </w:r>
          </w:p>
        </w:tc>
      </w:tr>
      <w:tr w:rsidR="00A40178" w:rsidRPr="000512DD" w14:paraId="497E1997" w14:textId="77777777" w:rsidTr="001F76E7">
        <w:tc>
          <w:tcPr>
            <w:tcW w:w="1195" w:type="dxa"/>
          </w:tcPr>
          <w:p w14:paraId="086DC9E9" w14:textId="77777777" w:rsidR="00A40178" w:rsidRPr="000512DD" w:rsidRDefault="0072444D" w:rsidP="00196599">
            <w:pPr>
              <w:spacing w:after="200" w:line="276" w:lineRule="auto"/>
              <w:rPr>
                <w:rFonts w:ascii="Calibri" w:hAnsi="Calibri"/>
              </w:rPr>
            </w:pPr>
            <w:r>
              <w:rPr>
                <w:rFonts w:ascii="Calibri" w:hAnsi="Calibri"/>
              </w:rPr>
              <w:t>Final</w:t>
            </w:r>
          </w:p>
        </w:tc>
        <w:tc>
          <w:tcPr>
            <w:tcW w:w="1069" w:type="dxa"/>
          </w:tcPr>
          <w:p w14:paraId="76E7B1E1" w14:textId="77777777" w:rsidR="00A40178" w:rsidRPr="000512DD" w:rsidRDefault="0072444D" w:rsidP="00196599">
            <w:pPr>
              <w:spacing w:after="200" w:line="276" w:lineRule="auto"/>
              <w:rPr>
                <w:rFonts w:ascii="Calibri" w:hAnsi="Calibri"/>
              </w:rPr>
            </w:pPr>
            <w:r>
              <w:rPr>
                <w:rFonts w:ascii="Calibri" w:hAnsi="Calibri"/>
              </w:rPr>
              <w:t>Sept 16</w:t>
            </w:r>
          </w:p>
        </w:tc>
        <w:tc>
          <w:tcPr>
            <w:tcW w:w="850" w:type="dxa"/>
          </w:tcPr>
          <w:p w14:paraId="319FF475" w14:textId="64513CB7" w:rsidR="00A40178" w:rsidRPr="000512DD" w:rsidRDefault="001F76E7" w:rsidP="00196599">
            <w:pPr>
              <w:spacing w:after="200" w:line="276" w:lineRule="auto"/>
              <w:rPr>
                <w:rFonts w:ascii="Calibri" w:hAnsi="Calibri"/>
              </w:rPr>
            </w:pPr>
            <w:r>
              <w:rPr>
                <w:rFonts w:ascii="Calibri" w:hAnsi="Calibri"/>
              </w:rPr>
              <w:t>FC</w:t>
            </w:r>
          </w:p>
        </w:tc>
        <w:tc>
          <w:tcPr>
            <w:tcW w:w="1417" w:type="dxa"/>
          </w:tcPr>
          <w:p w14:paraId="6071FFBF" w14:textId="77777777" w:rsidR="00A40178" w:rsidRPr="000512DD" w:rsidRDefault="00662F95" w:rsidP="00196599">
            <w:pPr>
              <w:spacing w:after="200" w:line="276" w:lineRule="auto"/>
              <w:rPr>
                <w:rFonts w:ascii="Calibri" w:hAnsi="Calibri"/>
              </w:rPr>
            </w:pPr>
            <w:r>
              <w:rPr>
                <w:rFonts w:ascii="Calibri" w:hAnsi="Calibri"/>
              </w:rPr>
              <w:t>DH</w:t>
            </w:r>
          </w:p>
        </w:tc>
        <w:tc>
          <w:tcPr>
            <w:tcW w:w="5009" w:type="dxa"/>
          </w:tcPr>
          <w:p w14:paraId="106D3B06" w14:textId="77777777" w:rsidR="00A40178" w:rsidRPr="000512DD" w:rsidRDefault="00A40178" w:rsidP="00196599">
            <w:pPr>
              <w:spacing w:after="200" w:line="276" w:lineRule="auto"/>
              <w:rPr>
                <w:rFonts w:ascii="Calibri" w:hAnsi="Calibri"/>
              </w:rPr>
            </w:pPr>
          </w:p>
        </w:tc>
      </w:tr>
      <w:tr w:rsidR="00A40178" w:rsidRPr="000512DD" w14:paraId="47C4038F" w14:textId="77777777" w:rsidTr="001F76E7">
        <w:tc>
          <w:tcPr>
            <w:tcW w:w="1195" w:type="dxa"/>
          </w:tcPr>
          <w:p w14:paraId="05A8897B" w14:textId="77777777" w:rsidR="00A40178" w:rsidRPr="000512DD" w:rsidRDefault="00662F95" w:rsidP="00196599">
            <w:pPr>
              <w:spacing w:after="200" w:line="276" w:lineRule="auto"/>
              <w:rPr>
                <w:rFonts w:ascii="Calibri" w:hAnsi="Calibri"/>
              </w:rPr>
            </w:pPr>
            <w:r>
              <w:rPr>
                <w:rFonts w:ascii="Calibri" w:hAnsi="Calibri"/>
              </w:rPr>
              <w:t>V2</w:t>
            </w:r>
          </w:p>
        </w:tc>
        <w:tc>
          <w:tcPr>
            <w:tcW w:w="1069" w:type="dxa"/>
          </w:tcPr>
          <w:p w14:paraId="2DAEDC12" w14:textId="77777777" w:rsidR="00A40178" w:rsidRPr="000512DD" w:rsidRDefault="00662F95" w:rsidP="00196599">
            <w:pPr>
              <w:spacing w:after="200" w:line="276" w:lineRule="auto"/>
              <w:rPr>
                <w:rFonts w:ascii="Calibri" w:hAnsi="Calibri"/>
              </w:rPr>
            </w:pPr>
            <w:r>
              <w:rPr>
                <w:rFonts w:ascii="Calibri" w:hAnsi="Calibri"/>
              </w:rPr>
              <w:t>Jan 2017</w:t>
            </w:r>
          </w:p>
        </w:tc>
        <w:tc>
          <w:tcPr>
            <w:tcW w:w="850" w:type="dxa"/>
          </w:tcPr>
          <w:p w14:paraId="283D74B5" w14:textId="164F9815" w:rsidR="00A40178" w:rsidRPr="000512DD" w:rsidRDefault="001F76E7" w:rsidP="00196599">
            <w:pPr>
              <w:spacing w:after="200" w:line="276" w:lineRule="auto"/>
              <w:rPr>
                <w:rFonts w:ascii="Calibri" w:hAnsi="Calibri"/>
              </w:rPr>
            </w:pPr>
            <w:r>
              <w:rPr>
                <w:rFonts w:ascii="Calibri" w:hAnsi="Calibri"/>
              </w:rPr>
              <w:t>FC</w:t>
            </w:r>
          </w:p>
        </w:tc>
        <w:tc>
          <w:tcPr>
            <w:tcW w:w="1417" w:type="dxa"/>
          </w:tcPr>
          <w:p w14:paraId="58B3193F" w14:textId="77777777" w:rsidR="00A40178" w:rsidRPr="000512DD" w:rsidRDefault="00662F95" w:rsidP="00196599">
            <w:pPr>
              <w:spacing w:after="200" w:line="276" w:lineRule="auto"/>
              <w:rPr>
                <w:rFonts w:ascii="Calibri" w:hAnsi="Calibri"/>
              </w:rPr>
            </w:pPr>
            <w:r>
              <w:rPr>
                <w:rFonts w:ascii="Calibri" w:hAnsi="Calibri"/>
              </w:rPr>
              <w:t>CCG</w:t>
            </w:r>
          </w:p>
        </w:tc>
        <w:tc>
          <w:tcPr>
            <w:tcW w:w="5009" w:type="dxa"/>
          </w:tcPr>
          <w:p w14:paraId="69DC6964" w14:textId="77777777" w:rsidR="00A40178" w:rsidRPr="000512DD" w:rsidRDefault="00662F95" w:rsidP="00196599">
            <w:pPr>
              <w:spacing w:after="200" w:line="276" w:lineRule="auto"/>
              <w:rPr>
                <w:rFonts w:ascii="Calibri" w:hAnsi="Calibri"/>
              </w:rPr>
            </w:pPr>
            <w:r>
              <w:rPr>
                <w:rFonts w:ascii="Calibri" w:hAnsi="Calibri"/>
              </w:rPr>
              <w:t xml:space="preserve">Following review edits made re terminology and additional references </w:t>
            </w:r>
          </w:p>
        </w:tc>
      </w:tr>
      <w:tr w:rsidR="00FC4121" w:rsidRPr="000512DD" w14:paraId="3BB6EEE6" w14:textId="77777777" w:rsidTr="001F76E7">
        <w:tc>
          <w:tcPr>
            <w:tcW w:w="1195" w:type="dxa"/>
          </w:tcPr>
          <w:p w14:paraId="73331A38" w14:textId="582E442B" w:rsidR="00FC4121" w:rsidRDefault="00FC4121" w:rsidP="00196599">
            <w:pPr>
              <w:spacing w:line="276" w:lineRule="auto"/>
              <w:rPr>
                <w:rFonts w:ascii="Calibri" w:hAnsi="Calibri"/>
              </w:rPr>
            </w:pPr>
            <w:r>
              <w:rPr>
                <w:rFonts w:ascii="Calibri" w:hAnsi="Calibri"/>
              </w:rPr>
              <w:t>V3</w:t>
            </w:r>
          </w:p>
        </w:tc>
        <w:tc>
          <w:tcPr>
            <w:tcW w:w="1069" w:type="dxa"/>
          </w:tcPr>
          <w:p w14:paraId="0A81C9BD" w14:textId="2876E34B" w:rsidR="00FC4121" w:rsidRDefault="00FC4121" w:rsidP="00196599">
            <w:pPr>
              <w:spacing w:line="276" w:lineRule="auto"/>
              <w:rPr>
                <w:rFonts w:ascii="Calibri" w:hAnsi="Calibri"/>
              </w:rPr>
            </w:pPr>
            <w:r>
              <w:rPr>
                <w:rFonts w:ascii="Calibri" w:hAnsi="Calibri"/>
              </w:rPr>
              <w:t>Feb 2017</w:t>
            </w:r>
          </w:p>
        </w:tc>
        <w:tc>
          <w:tcPr>
            <w:tcW w:w="850" w:type="dxa"/>
          </w:tcPr>
          <w:p w14:paraId="302500A6" w14:textId="2FE8C3BC" w:rsidR="00FC4121" w:rsidRPr="000512DD" w:rsidRDefault="001F76E7" w:rsidP="00196599">
            <w:pPr>
              <w:spacing w:line="276" w:lineRule="auto"/>
              <w:rPr>
                <w:rFonts w:ascii="Calibri" w:hAnsi="Calibri"/>
              </w:rPr>
            </w:pPr>
            <w:r>
              <w:rPr>
                <w:rFonts w:ascii="Calibri" w:hAnsi="Calibri"/>
              </w:rPr>
              <w:t>FC</w:t>
            </w:r>
          </w:p>
        </w:tc>
        <w:tc>
          <w:tcPr>
            <w:tcW w:w="1417" w:type="dxa"/>
          </w:tcPr>
          <w:p w14:paraId="1696A17F" w14:textId="02B2EB40" w:rsidR="00FC4121" w:rsidRDefault="00FC4121" w:rsidP="00196599">
            <w:pPr>
              <w:spacing w:line="276" w:lineRule="auto"/>
              <w:rPr>
                <w:rFonts w:ascii="Calibri" w:hAnsi="Calibri"/>
              </w:rPr>
            </w:pPr>
            <w:r>
              <w:rPr>
                <w:rFonts w:ascii="Calibri" w:hAnsi="Calibri"/>
              </w:rPr>
              <w:t>CCG</w:t>
            </w:r>
          </w:p>
        </w:tc>
        <w:tc>
          <w:tcPr>
            <w:tcW w:w="5009" w:type="dxa"/>
          </w:tcPr>
          <w:p w14:paraId="2BBE39AA" w14:textId="2A0FC4C2" w:rsidR="00FC4121" w:rsidRDefault="00FC4121" w:rsidP="00196599">
            <w:pPr>
              <w:spacing w:line="276" w:lineRule="auto"/>
              <w:rPr>
                <w:rFonts w:ascii="Calibri" w:hAnsi="Calibri"/>
              </w:rPr>
            </w:pPr>
            <w:r>
              <w:rPr>
                <w:rFonts w:ascii="Calibri" w:hAnsi="Calibri"/>
              </w:rPr>
              <w:t>Additional review by V Cooper</w:t>
            </w:r>
            <w:r w:rsidR="001F76E7">
              <w:rPr>
                <w:rFonts w:ascii="Calibri" w:hAnsi="Calibri"/>
              </w:rPr>
              <w:t xml:space="preserve"> – changes made </w:t>
            </w:r>
            <w:r w:rsidR="0023468D">
              <w:rPr>
                <w:rFonts w:ascii="Calibri" w:hAnsi="Calibri"/>
              </w:rPr>
              <w:t xml:space="preserve">to reflect feedback </w:t>
            </w:r>
          </w:p>
        </w:tc>
      </w:tr>
      <w:tr w:rsidR="00194095" w:rsidRPr="000512DD" w14:paraId="0EAA52DD" w14:textId="77777777" w:rsidTr="001F76E7">
        <w:tc>
          <w:tcPr>
            <w:tcW w:w="1195" w:type="dxa"/>
          </w:tcPr>
          <w:p w14:paraId="659E6F2E" w14:textId="72761A28" w:rsidR="00194095" w:rsidRDefault="00194095" w:rsidP="00196599">
            <w:pPr>
              <w:spacing w:line="276" w:lineRule="auto"/>
              <w:rPr>
                <w:rFonts w:ascii="Calibri" w:hAnsi="Calibri"/>
              </w:rPr>
            </w:pPr>
            <w:r>
              <w:rPr>
                <w:rFonts w:ascii="Calibri" w:hAnsi="Calibri"/>
              </w:rPr>
              <w:t>V4</w:t>
            </w:r>
          </w:p>
        </w:tc>
        <w:tc>
          <w:tcPr>
            <w:tcW w:w="1069" w:type="dxa"/>
          </w:tcPr>
          <w:p w14:paraId="0A1C220A" w14:textId="178990AF" w:rsidR="00194095" w:rsidRDefault="00194095" w:rsidP="00196599">
            <w:pPr>
              <w:spacing w:line="276" w:lineRule="auto"/>
              <w:rPr>
                <w:rFonts w:ascii="Calibri" w:hAnsi="Calibri"/>
              </w:rPr>
            </w:pPr>
            <w:r>
              <w:rPr>
                <w:rFonts w:ascii="Calibri" w:hAnsi="Calibri"/>
              </w:rPr>
              <w:t>April 2017</w:t>
            </w:r>
          </w:p>
        </w:tc>
        <w:tc>
          <w:tcPr>
            <w:tcW w:w="850" w:type="dxa"/>
          </w:tcPr>
          <w:p w14:paraId="74528371" w14:textId="78227F65" w:rsidR="00194095" w:rsidRDefault="00194095" w:rsidP="00196599">
            <w:pPr>
              <w:spacing w:line="276" w:lineRule="auto"/>
              <w:rPr>
                <w:rFonts w:ascii="Calibri" w:hAnsi="Calibri"/>
              </w:rPr>
            </w:pPr>
            <w:r>
              <w:rPr>
                <w:rFonts w:ascii="Calibri" w:hAnsi="Calibri"/>
              </w:rPr>
              <w:t>SR</w:t>
            </w:r>
          </w:p>
        </w:tc>
        <w:tc>
          <w:tcPr>
            <w:tcW w:w="1417" w:type="dxa"/>
          </w:tcPr>
          <w:p w14:paraId="1C896D87" w14:textId="77777777" w:rsidR="00194095" w:rsidRDefault="00194095" w:rsidP="00196599">
            <w:pPr>
              <w:spacing w:line="276" w:lineRule="auto"/>
              <w:rPr>
                <w:rFonts w:ascii="Calibri" w:hAnsi="Calibri"/>
              </w:rPr>
            </w:pPr>
          </w:p>
        </w:tc>
        <w:tc>
          <w:tcPr>
            <w:tcW w:w="5009" w:type="dxa"/>
          </w:tcPr>
          <w:p w14:paraId="5F3BA809" w14:textId="57B6FB25" w:rsidR="00194095" w:rsidRDefault="00194095" w:rsidP="00196599">
            <w:pPr>
              <w:spacing w:line="276" w:lineRule="auto"/>
              <w:rPr>
                <w:rFonts w:ascii="Calibri" w:hAnsi="Calibri"/>
              </w:rPr>
            </w:pPr>
            <w:r>
              <w:rPr>
                <w:rFonts w:ascii="Calibri" w:hAnsi="Calibri"/>
              </w:rPr>
              <w:t xml:space="preserve">Additional info added re training </w:t>
            </w:r>
          </w:p>
        </w:tc>
      </w:tr>
    </w:tbl>
    <w:p w14:paraId="45C963CF" w14:textId="77777777" w:rsidR="00B26406" w:rsidRPr="000512DD" w:rsidRDefault="00B26406" w:rsidP="00B26406">
      <w:pPr>
        <w:rPr>
          <w:rFonts w:ascii="Calibri" w:hAnsi="Calibri" w:cs="Calibri"/>
        </w:rPr>
      </w:pPr>
    </w:p>
    <w:p w14:paraId="5A06D463" w14:textId="5191D46B" w:rsidR="00EC03D2" w:rsidRPr="000512DD" w:rsidRDefault="00EC03D2" w:rsidP="000512DD"/>
    <w:p w14:paraId="530ED226" w14:textId="77777777" w:rsidR="000512DD" w:rsidRPr="000512DD" w:rsidRDefault="000512DD" w:rsidP="000512DD">
      <w:pPr>
        <w:pStyle w:val="Heading1"/>
      </w:pPr>
      <w:r w:rsidRPr="000512DD">
        <w:t>Policy Summary</w:t>
      </w:r>
    </w:p>
    <w:p w14:paraId="7AA0E321" w14:textId="42CD04BC" w:rsidR="000512DD" w:rsidRPr="000512DD" w:rsidRDefault="000512DD" w:rsidP="000512DD">
      <w:pPr>
        <w:rPr>
          <w:rFonts w:ascii="Calibri" w:hAnsi="Calibri"/>
        </w:rPr>
      </w:pPr>
      <w:r w:rsidRPr="000512DD">
        <w:rPr>
          <w:rFonts w:ascii="Calibri" w:hAnsi="Calibri"/>
        </w:rPr>
        <w:t xml:space="preserve">The purpose of this document is to ensure that </w:t>
      </w:r>
      <w:r>
        <w:rPr>
          <w:rFonts w:ascii="Calibri" w:hAnsi="Calibri"/>
        </w:rPr>
        <w:t xml:space="preserve">Castleman Healthcare Ltd </w:t>
      </w:r>
      <w:r w:rsidRPr="000512DD">
        <w:rPr>
          <w:rFonts w:ascii="Calibri" w:hAnsi="Calibri"/>
        </w:rPr>
        <w:t xml:space="preserve">meets nationally </w:t>
      </w:r>
      <w:proofErr w:type="spellStart"/>
      <w:r w:rsidRPr="000512DD">
        <w:rPr>
          <w:rFonts w:ascii="Calibri" w:hAnsi="Calibri"/>
        </w:rPr>
        <w:t>recognised</w:t>
      </w:r>
      <w:proofErr w:type="spellEnd"/>
      <w:r w:rsidRPr="000512DD">
        <w:rPr>
          <w:rFonts w:ascii="Calibri" w:hAnsi="Calibri"/>
        </w:rPr>
        <w:t xml:space="preserve"> and regionally agreed best practice for safeguarding </w:t>
      </w:r>
      <w:r w:rsidR="008524FB">
        <w:rPr>
          <w:rFonts w:ascii="Calibri" w:hAnsi="Calibri"/>
        </w:rPr>
        <w:t xml:space="preserve">adults at risk. </w:t>
      </w:r>
      <w:r w:rsidR="00083E51">
        <w:rPr>
          <w:rFonts w:ascii="Calibri" w:hAnsi="Calibri"/>
        </w:rPr>
        <w:t>T</w:t>
      </w:r>
      <w:r w:rsidRPr="000512DD">
        <w:rPr>
          <w:rFonts w:ascii="Calibri" w:hAnsi="Calibri"/>
        </w:rPr>
        <w:t xml:space="preserve">he </w:t>
      </w:r>
      <w:r w:rsidR="00083E51">
        <w:rPr>
          <w:rFonts w:ascii="Calibri" w:hAnsi="Calibri"/>
        </w:rPr>
        <w:t>lead agency for Adult Safeguarding is the Local Authority</w:t>
      </w:r>
      <w:r w:rsidR="00FC4121">
        <w:rPr>
          <w:rFonts w:ascii="Calibri" w:hAnsi="Calibri"/>
        </w:rPr>
        <w:t xml:space="preserve">, </w:t>
      </w:r>
      <w:r w:rsidR="00083E51">
        <w:rPr>
          <w:rFonts w:ascii="Calibri" w:hAnsi="Calibri"/>
        </w:rPr>
        <w:t>however</w:t>
      </w:r>
      <w:r w:rsidRPr="000512DD">
        <w:rPr>
          <w:rFonts w:ascii="Calibri" w:hAnsi="Calibri"/>
        </w:rPr>
        <w:t xml:space="preserve"> effective safeguarding is based on a multi-agency approach.</w:t>
      </w:r>
    </w:p>
    <w:p w14:paraId="09365557" w14:textId="244E000C" w:rsidR="000512DD" w:rsidRPr="000512DD" w:rsidRDefault="000512DD" w:rsidP="000512DD">
      <w:pPr>
        <w:rPr>
          <w:rFonts w:ascii="Calibri" w:hAnsi="Calibri"/>
        </w:rPr>
      </w:pPr>
      <w:r w:rsidRPr="000512DD">
        <w:rPr>
          <w:rFonts w:ascii="Calibri" w:hAnsi="Calibri"/>
        </w:rPr>
        <w:t xml:space="preserve">This policy </w:t>
      </w:r>
      <w:r w:rsidR="00083E51">
        <w:rPr>
          <w:rFonts w:ascii="Calibri" w:hAnsi="Calibri"/>
        </w:rPr>
        <w:t xml:space="preserve">has been developed in line with local </w:t>
      </w:r>
      <w:r w:rsidR="00FC4121">
        <w:rPr>
          <w:rFonts w:ascii="Calibri" w:hAnsi="Calibri"/>
        </w:rPr>
        <w:t xml:space="preserve">Dorset, </w:t>
      </w:r>
      <w:r w:rsidR="00083E51">
        <w:rPr>
          <w:rFonts w:ascii="Calibri" w:hAnsi="Calibri"/>
        </w:rPr>
        <w:t xml:space="preserve">Bournemouth and Poole Adult Safeguarding Policy and procedures to </w:t>
      </w:r>
      <w:r w:rsidR="00FC4121">
        <w:rPr>
          <w:rFonts w:ascii="Calibri" w:hAnsi="Calibri"/>
        </w:rPr>
        <w:t>ensure</w:t>
      </w:r>
      <w:r w:rsidR="00083E51">
        <w:rPr>
          <w:rFonts w:ascii="Calibri" w:hAnsi="Calibri"/>
        </w:rPr>
        <w:t xml:space="preserve"> it is Care </w:t>
      </w:r>
      <w:r w:rsidR="008524FB">
        <w:rPr>
          <w:rFonts w:ascii="Calibri" w:hAnsi="Calibri"/>
        </w:rPr>
        <w:t xml:space="preserve">Act </w:t>
      </w:r>
      <w:r w:rsidR="00083E51">
        <w:rPr>
          <w:rFonts w:ascii="Calibri" w:hAnsi="Calibri"/>
        </w:rPr>
        <w:t>(</w:t>
      </w:r>
      <w:r w:rsidR="008524FB">
        <w:rPr>
          <w:rFonts w:ascii="Calibri" w:hAnsi="Calibri"/>
        </w:rPr>
        <w:t>2014</w:t>
      </w:r>
      <w:r w:rsidR="00083E51">
        <w:rPr>
          <w:rFonts w:ascii="Calibri" w:hAnsi="Calibri"/>
        </w:rPr>
        <w:t>)</w:t>
      </w:r>
      <w:r w:rsidR="006814F2">
        <w:rPr>
          <w:rFonts w:ascii="Calibri" w:hAnsi="Calibri"/>
        </w:rPr>
        <w:t xml:space="preserve"> </w:t>
      </w:r>
      <w:r w:rsidR="008524FB">
        <w:rPr>
          <w:rFonts w:ascii="Calibri" w:hAnsi="Calibri"/>
        </w:rPr>
        <w:t>compliant.</w:t>
      </w:r>
      <w:r w:rsidR="008524FB">
        <w:rPr>
          <w:rStyle w:val="FootnoteReference"/>
          <w:rFonts w:ascii="Calibri" w:hAnsi="Calibri"/>
        </w:rPr>
        <w:footnoteReference w:id="1"/>
      </w:r>
      <w:r w:rsidR="008524FB">
        <w:rPr>
          <w:rFonts w:ascii="Calibri" w:hAnsi="Calibri"/>
        </w:rPr>
        <w:t xml:space="preserve"> </w:t>
      </w:r>
      <w:r w:rsidRPr="000512DD">
        <w:rPr>
          <w:rFonts w:ascii="Calibri" w:hAnsi="Calibri"/>
        </w:rPr>
        <w:t xml:space="preserve">This includes: the role of NHS commissioners, health service managers and practitioners in preventing and responding to neglect and abuse, focusing on patients in the most vulnerable situations. The documents include good practice principles and examples which have been </w:t>
      </w:r>
      <w:r>
        <w:rPr>
          <w:rFonts w:ascii="Calibri" w:hAnsi="Calibri"/>
        </w:rPr>
        <w:t>incorporated in to this policy.</w:t>
      </w:r>
    </w:p>
    <w:p w14:paraId="047490E6" w14:textId="74B55F74" w:rsidR="000512DD" w:rsidRPr="000512DD" w:rsidRDefault="000512DD" w:rsidP="000512DD">
      <w:pPr>
        <w:rPr>
          <w:rFonts w:ascii="Calibri" w:hAnsi="Calibri"/>
        </w:rPr>
      </w:pPr>
      <w:r w:rsidRPr="000512DD">
        <w:rPr>
          <w:rFonts w:ascii="Calibri" w:hAnsi="Calibri"/>
        </w:rPr>
        <w:t xml:space="preserve">Using the Clinical Governance and </w:t>
      </w:r>
      <w:r w:rsidR="005F602B">
        <w:rPr>
          <w:rFonts w:ascii="Calibri" w:hAnsi="Calibri"/>
        </w:rPr>
        <w:t>Care Act guidance</w:t>
      </w:r>
      <w:r w:rsidR="00662F95">
        <w:rPr>
          <w:rFonts w:ascii="Calibri" w:hAnsi="Calibri"/>
        </w:rPr>
        <w:t xml:space="preserve"> </w:t>
      </w:r>
      <w:r w:rsidR="00662F95">
        <w:rPr>
          <w:rStyle w:val="FootnoteReference"/>
          <w:rFonts w:ascii="Calibri" w:hAnsi="Calibri"/>
        </w:rPr>
        <w:footnoteReference w:id="2"/>
      </w:r>
      <w:r w:rsidRPr="000512DD">
        <w:rPr>
          <w:rFonts w:ascii="Calibri" w:hAnsi="Calibri"/>
        </w:rPr>
        <w:t xml:space="preserve">, this policy also aims </w:t>
      </w:r>
      <w:r w:rsidR="005F602B">
        <w:rPr>
          <w:rFonts w:ascii="Calibri" w:hAnsi="Calibri"/>
        </w:rPr>
        <w:t xml:space="preserve">focus on improved outcomes for patient, by creating an </w:t>
      </w:r>
      <w:r w:rsidR="006814F2">
        <w:rPr>
          <w:rFonts w:ascii="Calibri" w:hAnsi="Calibri"/>
        </w:rPr>
        <w:t>atmosphere</w:t>
      </w:r>
      <w:r w:rsidR="005F602B">
        <w:rPr>
          <w:rFonts w:ascii="Calibri" w:hAnsi="Calibri"/>
        </w:rPr>
        <w:t xml:space="preserve"> </w:t>
      </w:r>
      <w:r w:rsidR="006814F2">
        <w:rPr>
          <w:rFonts w:ascii="Calibri" w:hAnsi="Calibri"/>
        </w:rPr>
        <w:t>of openness</w:t>
      </w:r>
      <w:r w:rsidRPr="000512DD">
        <w:rPr>
          <w:rFonts w:ascii="Calibri" w:hAnsi="Calibri"/>
        </w:rPr>
        <w:t xml:space="preserve"> and transparency </w:t>
      </w:r>
      <w:r w:rsidR="006814F2">
        <w:rPr>
          <w:rFonts w:ascii="Calibri" w:hAnsi="Calibri"/>
        </w:rPr>
        <w:t>regarding</w:t>
      </w:r>
      <w:r w:rsidR="005F602B">
        <w:rPr>
          <w:rFonts w:ascii="Calibri" w:hAnsi="Calibri"/>
        </w:rPr>
        <w:t xml:space="preserve"> </w:t>
      </w:r>
      <w:r w:rsidRPr="000512DD">
        <w:rPr>
          <w:rFonts w:ascii="Calibri" w:hAnsi="Calibri"/>
        </w:rPr>
        <w:t>clinical incidents</w:t>
      </w:r>
      <w:r w:rsidR="005F602B">
        <w:rPr>
          <w:rFonts w:ascii="Calibri" w:hAnsi="Calibri"/>
        </w:rPr>
        <w:t xml:space="preserve"> and opportunities to </w:t>
      </w:r>
      <w:r w:rsidRPr="000512DD">
        <w:rPr>
          <w:rFonts w:ascii="Calibri" w:hAnsi="Calibri"/>
        </w:rPr>
        <w:t>learn from safeguarding concerns</w:t>
      </w:r>
      <w:r w:rsidR="005F602B">
        <w:rPr>
          <w:rFonts w:ascii="Calibri" w:hAnsi="Calibri"/>
        </w:rPr>
        <w:t>. This will also</w:t>
      </w:r>
      <w:r w:rsidR="006814F2">
        <w:rPr>
          <w:rFonts w:ascii="Calibri" w:hAnsi="Calibri"/>
        </w:rPr>
        <w:t xml:space="preserve"> include</w:t>
      </w:r>
      <w:r w:rsidR="005F602B">
        <w:rPr>
          <w:rFonts w:ascii="Calibri" w:hAnsi="Calibri"/>
        </w:rPr>
        <w:t xml:space="preserve"> robust defensible documentation </w:t>
      </w:r>
      <w:r w:rsidR="005F602B" w:rsidRPr="000512DD">
        <w:rPr>
          <w:rFonts w:ascii="Calibri" w:hAnsi="Calibri"/>
        </w:rPr>
        <w:t>enhanced</w:t>
      </w:r>
      <w:r w:rsidRPr="000512DD">
        <w:rPr>
          <w:rFonts w:ascii="Calibri" w:hAnsi="Calibri"/>
        </w:rPr>
        <w:t xml:space="preserve"> positive partnership working.</w:t>
      </w:r>
    </w:p>
    <w:p w14:paraId="785C5F9A" w14:textId="7DA225C1" w:rsidR="000512DD" w:rsidRPr="000512DD" w:rsidRDefault="000512DD" w:rsidP="00721E74">
      <w:pPr>
        <w:pStyle w:val="ListParagraph"/>
        <w:numPr>
          <w:ilvl w:val="0"/>
          <w:numId w:val="2"/>
        </w:numPr>
        <w:rPr>
          <w:rFonts w:ascii="Calibri" w:hAnsi="Calibri"/>
        </w:rPr>
      </w:pPr>
      <w:r w:rsidRPr="000512DD">
        <w:rPr>
          <w:rFonts w:ascii="Calibri" w:hAnsi="Calibri"/>
        </w:rPr>
        <w:t xml:space="preserve">The policy applies to all Castleman Healthcare </w:t>
      </w:r>
      <w:r w:rsidR="00312772" w:rsidRPr="000512DD">
        <w:rPr>
          <w:rFonts w:ascii="Calibri" w:hAnsi="Calibri"/>
        </w:rPr>
        <w:t>Ltd staff</w:t>
      </w:r>
      <w:r w:rsidRPr="000512DD">
        <w:rPr>
          <w:rFonts w:ascii="Calibri" w:hAnsi="Calibri"/>
        </w:rPr>
        <w:t>. Implementation of this policy will ensure that:</w:t>
      </w:r>
    </w:p>
    <w:p w14:paraId="0ACC9654" w14:textId="330D84B0" w:rsidR="000512DD" w:rsidRPr="006814F2" w:rsidRDefault="005F602B" w:rsidP="005F602B">
      <w:pPr>
        <w:pStyle w:val="ListParagraph"/>
        <w:numPr>
          <w:ilvl w:val="0"/>
          <w:numId w:val="2"/>
        </w:numPr>
        <w:rPr>
          <w:rFonts w:ascii="Calibri" w:hAnsi="Calibri"/>
        </w:rPr>
      </w:pPr>
      <w:r>
        <w:rPr>
          <w:rFonts w:ascii="Calibri" w:hAnsi="Calibri"/>
        </w:rPr>
        <w:t>Using the six adult safeguarding principles a</w:t>
      </w:r>
      <w:r w:rsidR="000512DD" w:rsidRPr="006814F2">
        <w:rPr>
          <w:rFonts w:ascii="Calibri" w:hAnsi="Calibri"/>
        </w:rPr>
        <w:t xml:space="preserve">ll staff </w:t>
      </w:r>
      <w:r>
        <w:rPr>
          <w:rFonts w:ascii="Calibri" w:hAnsi="Calibri"/>
        </w:rPr>
        <w:t>will be</w:t>
      </w:r>
      <w:r w:rsidRPr="006814F2">
        <w:rPr>
          <w:rFonts w:ascii="Calibri" w:hAnsi="Calibri"/>
        </w:rPr>
        <w:t xml:space="preserve"> </w:t>
      </w:r>
      <w:r w:rsidR="000512DD" w:rsidRPr="006814F2">
        <w:rPr>
          <w:rFonts w:ascii="Calibri" w:hAnsi="Calibri"/>
        </w:rPr>
        <w:t xml:space="preserve">aware of how to </w:t>
      </w:r>
      <w:proofErr w:type="spellStart"/>
      <w:r w:rsidR="000512DD" w:rsidRPr="006814F2">
        <w:rPr>
          <w:rFonts w:ascii="Calibri" w:hAnsi="Calibri"/>
        </w:rPr>
        <w:t>recognise</w:t>
      </w:r>
      <w:proofErr w:type="spellEnd"/>
      <w:r w:rsidR="000512DD" w:rsidRPr="006814F2">
        <w:rPr>
          <w:rFonts w:ascii="Calibri" w:hAnsi="Calibri"/>
        </w:rPr>
        <w:t xml:space="preserve"> and report issues of abuse and neglect to those adults </w:t>
      </w:r>
      <w:r w:rsidR="00AE659A" w:rsidRPr="006814F2">
        <w:rPr>
          <w:rFonts w:ascii="Calibri" w:hAnsi="Calibri"/>
        </w:rPr>
        <w:t xml:space="preserve">at risk </w:t>
      </w:r>
      <w:r w:rsidR="000512DD" w:rsidRPr="006814F2">
        <w:rPr>
          <w:rFonts w:ascii="Calibri" w:hAnsi="Calibri"/>
        </w:rPr>
        <w:t xml:space="preserve">as defined by </w:t>
      </w:r>
      <w:r w:rsidR="0089661E" w:rsidRPr="006814F2">
        <w:rPr>
          <w:rFonts w:ascii="Calibri" w:hAnsi="Calibri"/>
        </w:rPr>
        <w:t>the Care Act 2014</w:t>
      </w:r>
      <w:r w:rsidRPr="006814F2">
        <w:rPr>
          <w:rFonts w:ascii="Calibri" w:hAnsi="Calibri"/>
        </w:rPr>
        <w:t xml:space="preserve"> </w:t>
      </w:r>
    </w:p>
    <w:p w14:paraId="65AFBFE6" w14:textId="77777777" w:rsidR="000512DD" w:rsidRPr="000512DD" w:rsidRDefault="000512DD" w:rsidP="00662F95">
      <w:pPr>
        <w:pStyle w:val="ListParagraph"/>
        <w:numPr>
          <w:ilvl w:val="0"/>
          <w:numId w:val="2"/>
        </w:numPr>
        <w:spacing w:before="240"/>
        <w:rPr>
          <w:rFonts w:ascii="Calibri" w:hAnsi="Calibri"/>
        </w:rPr>
      </w:pPr>
      <w:r w:rsidRPr="000512DD">
        <w:rPr>
          <w:rFonts w:ascii="Calibri" w:hAnsi="Calibri"/>
        </w:rPr>
        <w:t>Service Users/Patients are able to contribute and are involved in Safeguarding</w:t>
      </w:r>
      <w:r w:rsidR="00662F95">
        <w:rPr>
          <w:rFonts w:ascii="Calibri" w:hAnsi="Calibri"/>
        </w:rPr>
        <w:t xml:space="preserve"> enquiries</w:t>
      </w:r>
      <w:r w:rsidR="00662F95" w:rsidRPr="00662F95">
        <w:rPr>
          <w:rFonts w:ascii="Calibri" w:hAnsi="Calibri"/>
          <w:i/>
        </w:rPr>
        <w:t xml:space="preserve"> (Dorset, Bournemouth and Poole Adult Safeguarding policy and </w:t>
      </w:r>
      <w:r w:rsidR="00662F95" w:rsidRPr="00980618">
        <w:rPr>
          <w:rFonts w:ascii="Calibri" w:hAnsi="Calibri"/>
          <w:i/>
        </w:rPr>
        <w:t>procedures)</w:t>
      </w:r>
      <w:r w:rsidRPr="00D711B4">
        <w:rPr>
          <w:rFonts w:ascii="Calibri" w:hAnsi="Calibri"/>
        </w:rPr>
        <w:t>.</w:t>
      </w:r>
    </w:p>
    <w:p w14:paraId="2261BAEA" w14:textId="77777777" w:rsidR="000512DD" w:rsidRPr="000512DD" w:rsidRDefault="000512DD" w:rsidP="00721E74">
      <w:pPr>
        <w:pStyle w:val="ListParagraph"/>
        <w:numPr>
          <w:ilvl w:val="0"/>
          <w:numId w:val="2"/>
        </w:numPr>
        <w:rPr>
          <w:rFonts w:ascii="Calibri" w:hAnsi="Calibri"/>
        </w:rPr>
      </w:pPr>
      <w:r w:rsidRPr="000512DD">
        <w:rPr>
          <w:rFonts w:ascii="Calibri" w:hAnsi="Calibri"/>
        </w:rPr>
        <w:t xml:space="preserve">Staff work in a preventative manner to protect adults </w:t>
      </w:r>
      <w:r w:rsidR="0089661E">
        <w:rPr>
          <w:rFonts w:ascii="Calibri" w:hAnsi="Calibri"/>
        </w:rPr>
        <w:t xml:space="preserve">at risk </w:t>
      </w:r>
      <w:r w:rsidRPr="000512DD">
        <w:rPr>
          <w:rFonts w:ascii="Calibri" w:hAnsi="Calibri"/>
        </w:rPr>
        <w:t>from being abused.</w:t>
      </w:r>
    </w:p>
    <w:p w14:paraId="1A4C6D1D" w14:textId="77777777" w:rsidR="000512DD" w:rsidRPr="000512DD" w:rsidRDefault="000512DD" w:rsidP="00721E74">
      <w:pPr>
        <w:pStyle w:val="ListParagraph"/>
        <w:numPr>
          <w:ilvl w:val="0"/>
          <w:numId w:val="2"/>
        </w:numPr>
        <w:rPr>
          <w:rFonts w:ascii="Calibri" w:hAnsi="Calibri"/>
        </w:rPr>
      </w:pPr>
      <w:r w:rsidRPr="000512DD">
        <w:rPr>
          <w:rFonts w:ascii="Calibri" w:hAnsi="Calibri"/>
        </w:rPr>
        <w:t>There is consistency of reporting and procedures across health, social care and other partner agencies locally.</w:t>
      </w:r>
    </w:p>
    <w:p w14:paraId="0102BDAB" w14:textId="77777777" w:rsidR="000512DD" w:rsidRPr="000512DD" w:rsidRDefault="000512DD" w:rsidP="00721E74">
      <w:pPr>
        <w:pStyle w:val="ListParagraph"/>
        <w:numPr>
          <w:ilvl w:val="0"/>
          <w:numId w:val="2"/>
        </w:numPr>
        <w:rPr>
          <w:rFonts w:ascii="Calibri" w:hAnsi="Calibri"/>
        </w:rPr>
      </w:pPr>
      <w:r w:rsidRPr="000512DD">
        <w:rPr>
          <w:rFonts w:ascii="Calibri" w:hAnsi="Calibri"/>
        </w:rPr>
        <w:t>There will be an increase in staff awareness of adult</w:t>
      </w:r>
      <w:r w:rsidR="0089661E">
        <w:rPr>
          <w:rFonts w:ascii="Calibri" w:hAnsi="Calibri"/>
        </w:rPr>
        <w:t>s at risk</w:t>
      </w:r>
      <w:r w:rsidRPr="000512DD">
        <w:rPr>
          <w:rFonts w:ascii="Calibri" w:hAnsi="Calibri"/>
        </w:rPr>
        <w:t xml:space="preserve"> issues.</w:t>
      </w:r>
    </w:p>
    <w:p w14:paraId="6132EB36" w14:textId="77777777" w:rsidR="000512DD" w:rsidRPr="00AC6F43" w:rsidRDefault="000512DD" w:rsidP="000512DD">
      <w:pPr>
        <w:pStyle w:val="ListParagraph"/>
        <w:numPr>
          <w:ilvl w:val="0"/>
          <w:numId w:val="2"/>
        </w:numPr>
        <w:rPr>
          <w:rFonts w:ascii="Calibri" w:hAnsi="Calibri"/>
        </w:rPr>
      </w:pPr>
      <w:r w:rsidRPr="000512DD">
        <w:rPr>
          <w:rFonts w:ascii="Calibri" w:hAnsi="Calibri"/>
        </w:rPr>
        <w:t>Castleman Healthcare Ltd is compliant with the CQC essential standards relating to Safeguarding Adults.</w:t>
      </w:r>
    </w:p>
    <w:p w14:paraId="79766941" w14:textId="77777777" w:rsidR="000512DD" w:rsidRPr="000512DD" w:rsidRDefault="000512DD" w:rsidP="000512DD">
      <w:pPr>
        <w:pStyle w:val="Heading1"/>
      </w:pPr>
      <w:r w:rsidRPr="000512DD">
        <w:t xml:space="preserve">Policy Statements </w:t>
      </w:r>
    </w:p>
    <w:p w14:paraId="4EB0EAD5" w14:textId="71E1055B" w:rsidR="000512DD" w:rsidRPr="000512DD" w:rsidRDefault="000512DD" w:rsidP="000512DD">
      <w:pPr>
        <w:rPr>
          <w:rFonts w:ascii="Calibri" w:hAnsi="Calibri"/>
        </w:rPr>
      </w:pPr>
      <w:r w:rsidRPr="000512DD">
        <w:rPr>
          <w:rFonts w:ascii="Calibri" w:hAnsi="Calibri"/>
        </w:rPr>
        <w:t xml:space="preserve">This document sets out the </w:t>
      </w:r>
      <w:r>
        <w:rPr>
          <w:rFonts w:ascii="Calibri" w:hAnsi="Calibri"/>
        </w:rPr>
        <w:t xml:space="preserve">Castleman Healthcare Ltd </w:t>
      </w:r>
      <w:r w:rsidRPr="000512DD">
        <w:rPr>
          <w:rFonts w:ascii="Calibri" w:hAnsi="Calibri"/>
        </w:rPr>
        <w:t>system for safeguarding adults</w:t>
      </w:r>
      <w:r w:rsidR="00662F95">
        <w:rPr>
          <w:rFonts w:ascii="Calibri" w:hAnsi="Calibri"/>
        </w:rPr>
        <w:t xml:space="preserve"> at risk</w:t>
      </w:r>
      <w:r w:rsidRPr="000512DD">
        <w:rPr>
          <w:rFonts w:ascii="Calibri" w:hAnsi="Calibri"/>
        </w:rPr>
        <w:t xml:space="preserve"> from abuse and neglect. It provides a robust framework to ensure a consistent approach across the whole </w:t>
      </w:r>
      <w:proofErr w:type="spellStart"/>
      <w:r w:rsidRPr="000512DD">
        <w:rPr>
          <w:rFonts w:ascii="Calibri" w:hAnsi="Calibri"/>
        </w:rPr>
        <w:t>organisation</w:t>
      </w:r>
      <w:proofErr w:type="spellEnd"/>
      <w:r w:rsidRPr="000512DD">
        <w:rPr>
          <w:rFonts w:ascii="Calibri" w:hAnsi="Calibri"/>
        </w:rPr>
        <w:t xml:space="preserve">, and supports our statutory duties as set out in the </w:t>
      </w:r>
      <w:r w:rsidR="005F602B">
        <w:rPr>
          <w:rFonts w:ascii="Calibri" w:hAnsi="Calibri"/>
        </w:rPr>
        <w:t xml:space="preserve">Care Act and the </w:t>
      </w:r>
      <w:r w:rsidRPr="000512DD">
        <w:rPr>
          <w:rFonts w:ascii="Calibri" w:hAnsi="Calibri"/>
        </w:rPr>
        <w:t>NHS Constitution.</w:t>
      </w:r>
    </w:p>
    <w:p w14:paraId="742DCFE8" w14:textId="77777777" w:rsidR="000512DD" w:rsidRPr="000512DD" w:rsidRDefault="000512DD" w:rsidP="000512DD">
      <w:pPr>
        <w:rPr>
          <w:rFonts w:ascii="Calibri" w:hAnsi="Calibri"/>
        </w:rPr>
      </w:pPr>
      <w:r>
        <w:rPr>
          <w:rFonts w:ascii="Calibri" w:hAnsi="Calibri"/>
        </w:rPr>
        <w:t>Castleman Healthcare Ltd</w:t>
      </w:r>
      <w:r w:rsidRPr="000512DD">
        <w:rPr>
          <w:rFonts w:ascii="Calibri" w:hAnsi="Calibri"/>
        </w:rPr>
        <w:t xml:space="preserve"> is committed to improving the quality of health and social care, developing accountability to patients and strengthening the choice and con</w:t>
      </w:r>
      <w:r>
        <w:rPr>
          <w:rFonts w:ascii="Calibri" w:hAnsi="Calibri"/>
        </w:rPr>
        <w:t>trol they have over their care.</w:t>
      </w:r>
    </w:p>
    <w:p w14:paraId="1C8DF204" w14:textId="5B1FB473" w:rsidR="000512DD" w:rsidRDefault="000512DD" w:rsidP="000512DD">
      <w:pPr>
        <w:rPr>
          <w:rFonts w:ascii="Calibri" w:hAnsi="Calibri"/>
        </w:rPr>
      </w:pPr>
      <w:r w:rsidRPr="000512DD">
        <w:rPr>
          <w:rFonts w:ascii="Calibri" w:hAnsi="Calibri"/>
        </w:rPr>
        <w:t xml:space="preserve">The Government has agreed </w:t>
      </w:r>
      <w:r w:rsidR="005F602B">
        <w:rPr>
          <w:rFonts w:ascii="Calibri" w:hAnsi="Calibri"/>
        </w:rPr>
        <w:t xml:space="preserve">six </w:t>
      </w:r>
      <w:r w:rsidRPr="000512DD">
        <w:rPr>
          <w:rFonts w:ascii="Calibri" w:hAnsi="Calibri"/>
        </w:rPr>
        <w:t>principles for safeguarding adults that can provide a foundation for achieving good outcomes for patients.</w:t>
      </w:r>
    </w:p>
    <w:p w14:paraId="6A5A9231" w14:textId="77DFFE4E" w:rsidR="00EB47CD" w:rsidRDefault="00EB47CD" w:rsidP="000512DD">
      <w:pPr>
        <w:rPr>
          <w:rFonts w:ascii="Calibri" w:hAnsi="Calibri"/>
        </w:rPr>
      </w:pPr>
    </w:p>
    <w:p w14:paraId="672BEA2C" w14:textId="77777777" w:rsidR="00EB47CD" w:rsidRPr="000512DD" w:rsidRDefault="00EB47CD" w:rsidP="000512DD">
      <w:pPr>
        <w:rPr>
          <w:rFonts w:ascii="Calibri" w:hAnsi="Calibri"/>
        </w:rPr>
      </w:pPr>
    </w:p>
    <w:p w14:paraId="0C8A4B50" w14:textId="77777777" w:rsidR="000512DD" w:rsidRPr="000512DD" w:rsidRDefault="000512DD" w:rsidP="000512DD">
      <w:pPr>
        <w:rPr>
          <w:rFonts w:ascii="Calibri" w:hAnsi="Calibri"/>
          <w:b/>
          <w:color w:val="099BDD" w:themeColor="text2"/>
        </w:rPr>
      </w:pPr>
      <w:r w:rsidRPr="000512DD">
        <w:rPr>
          <w:rFonts w:ascii="Calibri" w:hAnsi="Calibri"/>
          <w:b/>
          <w:color w:val="099BDD" w:themeColor="text2"/>
        </w:rPr>
        <w:t>Principle 1: Empowerment – Presumption of person-led decisions and consent</w:t>
      </w:r>
    </w:p>
    <w:p w14:paraId="3077F6F5" w14:textId="77777777" w:rsidR="000512DD" w:rsidRPr="000512DD" w:rsidRDefault="000512DD" w:rsidP="000512DD">
      <w:pPr>
        <w:rPr>
          <w:rFonts w:ascii="Calibri" w:hAnsi="Calibri"/>
        </w:rPr>
      </w:pPr>
      <w:r w:rsidRPr="000512DD">
        <w:rPr>
          <w:rFonts w:ascii="Calibri" w:hAnsi="Calibri"/>
        </w:rPr>
        <w:t xml:space="preserve">Adults should be in control of their care and their consent is needed for decisions and actions designed to protect them. There must be clear justification where action is taken without consent such as lack of capacity or other legal or public interest justification. Where a person is not able to control the decision, they will still be included in decisions to the extent that they are able. Decisions made must respect the person’s age, </w:t>
      </w:r>
      <w:r>
        <w:rPr>
          <w:rFonts w:ascii="Calibri" w:hAnsi="Calibri"/>
        </w:rPr>
        <w:t>culture, beliefs and lifestyle.</w:t>
      </w:r>
    </w:p>
    <w:p w14:paraId="0549E601" w14:textId="77777777" w:rsidR="000512DD" w:rsidRPr="000512DD" w:rsidRDefault="000512DD" w:rsidP="000512DD">
      <w:pPr>
        <w:rPr>
          <w:rFonts w:ascii="Calibri" w:hAnsi="Calibri"/>
          <w:b/>
          <w:color w:val="099BDD" w:themeColor="text2"/>
        </w:rPr>
      </w:pPr>
      <w:r w:rsidRPr="000512DD">
        <w:rPr>
          <w:rFonts w:ascii="Calibri" w:hAnsi="Calibri"/>
          <w:b/>
          <w:color w:val="099BDD" w:themeColor="text2"/>
        </w:rPr>
        <w:t>Principle 2: Protection – Support and representation for those in greatest need</w:t>
      </w:r>
    </w:p>
    <w:p w14:paraId="7F097566" w14:textId="77777777" w:rsidR="000512DD" w:rsidRPr="000512DD" w:rsidRDefault="000512DD" w:rsidP="000512DD">
      <w:pPr>
        <w:rPr>
          <w:rFonts w:ascii="Calibri" w:hAnsi="Calibri"/>
        </w:rPr>
      </w:pPr>
      <w:r w:rsidRPr="000512DD">
        <w:rPr>
          <w:rFonts w:ascii="Calibri" w:hAnsi="Calibri"/>
        </w:rPr>
        <w:t>There is a duty to support all patients to protect themselves. There is a positive obligation to take additional measures for patients who may be l</w:t>
      </w:r>
      <w:r>
        <w:rPr>
          <w:rFonts w:ascii="Calibri" w:hAnsi="Calibri"/>
        </w:rPr>
        <w:t>ess able to protect themselves.</w:t>
      </w:r>
    </w:p>
    <w:p w14:paraId="28E9BD5F" w14:textId="77777777" w:rsidR="000512DD" w:rsidRPr="000512DD" w:rsidRDefault="000512DD" w:rsidP="000512DD">
      <w:pPr>
        <w:rPr>
          <w:rFonts w:ascii="Calibri" w:hAnsi="Calibri"/>
          <w:b/>
          <w:color w:val="099BDD" w:themeColor="text2"/>
        </w:rPr>
      </w:pPr>
      <w:r w:rsidRPr="000512DD">
        <w:rPr>
          <w:rFonts w:ascii="Calibri" w:hAnsi="Calibri"/>
          <w:b/>
          <w:color w:val="099BDD" w:themeColor="text2"/>
        </w:rPr>
        <w:t>Principle 3: Prevention</w:t>
      </w:r>
    </w:p>
    <w:p w14:paraId="2A12ADF8" w14:textId="77777777" w:rsidR="000512DD" w:rsidRPr="000512DD" w:rsidRDefault="000512DD" w:rsidP="000512DD">
      <w:pPr>
        <w:rPr>
          <w:rFonts w:ascii="Calibri" w:hAnsi="Calibri"/>
        </w:rPr>
      </w:pPr>
      <w:r w:rsidRPr="000512DD">
        <w:rPr>
          <w:rFonts w:ascii="Calibri" w:hAnsi="Calibri"/>
        </w:rPr>
        <w:t>Prevention of harm or abuse is a primary goal. Prevention involves helping the person to reduce risks of harm and abuse that are unacceptable to them. Prevention also involves reducing risks of neglect and abuse occurring within health services.</w:t>
      </w:r>
    </w:p>
    <w:p w14:paraId="29A8CF5F" w14:textId="77777777" w:rsidR="000512DD" w:rsidRPr="000512DD" w:rsidRDefault="000512DD" w:rsidP="000512DD">
      <w:pPr>
        <w:rPr>
          <w:rFonts w:ascii="Calibri" w:hAnsi="Calibri"/>
          <w:b/>
          <w:color w:val="099BDD" w:themeColor="text2"/>
        </w:rPr>
      </w:pPr>
      <w:r w:rsidRPr="000512DD">
        <w:rPr>
          <w:rFonts w:ascii="Calibri" w:hAnsi="Calibri"/>
          <w:b/>
          <w:color w:val="099BDD" w:themeColor="text2"/>
        </w:rPr>
        <w:t>Principle 4: Proportionality – Proportionality and Least Intrusive Response Appropriate to the Risk Presented</w:t>
      </w:r>
    </w:p>
    <w:p w14:paraId="4C2845E7" w14:textId="77777777" w:rsidR="000512DD" w:rsidRPr="000512DD" w:rsidRDefault="000512DD" w:rsidP="000512DD">
      <w:pPr>
        <w:rPr>
          <w:rFonts w:ascii="Calibri" w:hAnsi="Calibri"/>
        </w:rPr>
      </w:pPr>
      <w:r w:rsidRPr="000512DD">
        <w:rPr>
          <w:rFonts w:ascii="Calibri" w:hAnsi="Calibri"/>
        </w:rPr>
        <w:t>Responses to harm and abuse should reflect the nature and seriousness of the concern.</w:t>
      </w:r>
    </w:p>
    <w:p w14:paraId="400E9951" w14:textId="77777777" w:rsidR="000512DD" w:rsidRPr="000512DD" w:rsidRDefault="000512DD" w:rsidP="000512DD">
      <w:pPr>
        <w:rPr>
          <w:rFonts w:ascii="Calibri" w:hAnsi="Calibri"/>
        </w:rPr>
      </w:pPr>
      <w:r w:rsidRPr="000512DD">
        <w:rPr>
          <w:rFonts w:ascii="Calibri" w:hAnsi="Calibri"/>
        </w:rPr>
        <w:t>Responses must be the least restrictive of the person’s rights and take account of the person’s age, culture, wishes, lifestyle and beliefs. Proportionality also relates to managing concerns in the mo</w:t>
      </w:r>
      <w:r>
        <w:rPr>
          <w:rFonts w:ascii="Calibri" w:hAnsi="Calibri"/>
        </w:rPr>
        <w:t>st effective and efficient way.</w:t>
      </w:r>
    </w:p>
    <w:p w14:paraId="0B1C8F92" w14:textId="77777777" w:rsidR="000512DD" w:rsidRPr="000512DD" w:rsidRDefault="000512DD" w:rsidP="000512DD">
      <w:pPr>
        <w:rPr>
          <w:rFonts w:ascii="Calibri" w:hAnsi="Calibri"/>
          <w:b/>
          <w:color w:val="099BDD" w:themeColor="text2"/>
        </w:rPr>
      </w:pPr>
      <w:r w:rsidRPr="000512DD">
        <w:rPr>
          <w:rFonts w:ascii="Calibri" w:hAnsi="Calibri"/>
          <w:b/>
          <w:color w:val="099BDD" w:themeColor="text2"/>
        </w:rPr>
        <w:t>Principle 5: Partnerships – Working in a multi-disciplinary approach</w:t>
      </w:r>
    </w:p>
    <w:p w14:paraId="61BC9107" w14:textId="77777777" w:rsidR="000512DD" w:rsidRPr="000512DD" w:rsidRDefault="000512DD" w:rsidP="000512DD">
      <w:pPr>
        <w:rPr>
          <w:rFonts w:ascii="Calibri" w:hAnsi="Calibri"/>
        </w:rPr>
      </w:pPr>
      <w:r w:rsidRPr="000512DD">
        <w:rPr>
          <w:rFonts w:ascii="Calibri" w:hAnsi="Calibri"/>
        </w:rPr>
        <w:t>Safeguarding adults will be most effective where services work collaboratively to prevent, identify</w:t>
      </w:r>
      <w:r>
        <w:rPr>
          <w:rFonts w:ascii="Calibri" w:hAnsi="Calibri"/>
        </w:rPr>
        <w:t xml:space="preserve"> and respond to harm and abuse.</w:t>
      </w:r>
    </w:p>
    <w:p w14:paraId="1A14B434" w14:textId="77777777" w:rsidR="000512DD" w:rsidRPr="000512DD" w:rsidRDefault="000512DD" w:rsidP="000512DD">
      <w:pPr>
        <w:rPr>
          <w:rFonts w:ascii="Calibri" w:hAnsi="Calibri"/>
          <w:b/>
          <w:color w:val="099BDD" w:themeColor="text2"/>
        </w:rPr>
      </w:pPr>
      <w:r w:rsidRPr="000512DD">
        <w:rPr>
          <w:rFonts w:ascii="Calibri" w:hAnsi="Calibri"/>
          <w:b/>
          <w:color w:val="099BDD" w:themeColor="text2"/>
        </w:rPr>
        <w:t>Principle 6: Accountability – Accountability and transparency in delivering safeguarding</w:t>
      </w:r>
    </w:p>
    <w:p w14:paraId="2751EFA1" w14:textId="77777777" w:rsidR="000512DD" w:rsidRPr="000512DD" w:rsidRDefault="000512DD" w:rsidP="000512DD">
      <w:pPr>
        <w:rPr>
          <w:rFonts w:ascii="Calibri" w:hAnsi="Calibri"/>
        </w:rPr>
      </w:pPr>
      <w:r w:rsidRPr="000512DD">
        <w:rPr>
          <w:rFonts w:ascii="Calibri" w:hAnsi="Calibri"/>
        </w:rPr>
        <w:t>Services are accountable to patients, public and to their governing bodies. Working in partnerships also entails being open and transparent with partner agencies about how safeguarding responsibilities are being met.</w:t>
      </w:r>
    </w:p>
    <w:p w14:paraId="56DD8B53" w14:textId="77777777" w:rsidR="000512DD" w:rsidRPr="000512DD" w:rsidRDefault="000512DD" w:rsidP="000512DD">
      <w:pPr>
        <w:pStyle w:val="Heading1"/>
      </w:pPr>
      <w:r w:rsidRPr="000512DD">
        <w:t>Definitions of Terms Used</w:t>
      </w:r>
    </w:p>
    <w:p w14:paraId="0C36D7C1" w14:textId="77777777" w:rsidR="00662F95" w:rsidRDefault="00662F95" w:rsidP="000512DD">
      <w:pPr>
        <w:rPr>
          <w:rFonts w:ascii="Calibri" w:hAnsi="Calibri"/>
          <w:b/>
          <w:color w:val="099BDD" w:themeColor="text2"/>
        </w:rPr>
      </w:pPr>
      <w:r>
        <w:rPr>
          <w:rFonts w:ascii="Calibri" w:hAnsi="Calibri"/>
          <w:b/>
          <w:color w:val="099BDD" w:themeColor="text2"/>
        </w:rPr>
        <w:t>Adults at risk</w:t>
      </w:r>
    </w:p>
    <w:p w14:paraId="2EFFD078" w14:textId="77777777" w:rsidR="000512DD" w:rsidRPr="000512DD" w:rsidRDefault="000512DD" w:rsidP="000512DD">
      <w:pPr>
        <w:rPr>
          <w:rFonts w:ascii="Calibri" w:hAnsi="Calibri"/>
        </w:rPr>
      </w:pPr>
      <w:r w:rsidRPr="000512DD">
        <w:rPr>
          <w:rFonts w:ascii="Calibri" w:hAnsi="Calibri"/>
        </w:rPr>
        <w:t>The broad definition of a “</w:t>
      </w:r>
      <w:r w:rsidR="00662F95">
        <w:rPr>
          <w:rFonts w:ascii="Calibri" w:hAnsi="Calibri"/>
        </w:rPr>
        <w:t xml:space="preserve">adults at risk’ </w:t>
      </w:r>
      <w:r w:rsidRPr="000512DD">
        <w:rPr>
          <w:rFonts w:ascii="Calibri" w:hAnsi="Calibri"/>
        </w:rPr>
        <w:t>is tak</w:t>
      </w:r>
      <w:r>
        <w:rPr>
          <w:rFonts w:ascii="Calibri" w:hAnsi="Calibri"/>
        </w:rPr>
        <w:t xml:space="preserve">en from </w:t>
      </w:r>
      <w:r w:rsidR="00662F95">
        <w:rPr>
          <w:rFonts w:ascii="Calibri" w:hAnsi="Calibri"/>
        </w:rPr>
        <w:t xml:space="preserve">the Care Act 2014.  </w:t>
      </w:r>
    </w:p>
    <w:p w14:paraId="26ED5EC4" w14:textId="52738D18" w:rsidR="000512DD" w:rsidRPr="000512DD" w:rsidRDefault="000512DD" w:rsidP="000512DD">
      <w:pPr>
        <w:rPr>
          <w:rFonts w:ascii="Calibri" w:hAnsi="Calibri"/>
        </w:rPr>
      </w:pPr>
      <w:r w:rsidRPr="000512DD">
        <w:rPr>
          <w:rFonts w:ascii="Calibri" w:hAnsi="Calibri"/>
        </w:rPr>
        <w:t xml:space="preserve">A person who is over 18 years old </w:t>
      </w:r>
      <w:r w:rsidR="00AA0B1C">
        <w:rPr>
          <w:rFonts w:ascii="Calibri" w:hAnsi="Calibri"/>
        </w:rPr>
        <w:t xml:space="preserve">who has care and support needs (whether or not the LA is meeting any of these needs), is experience or at risk of abuse and neglect and due to their care and support needs are unable to protect themselves </w:t>
      </w:r>
      <w:r w:rsidR="00CB0E38">
        <w:rPr>
          <w:rFonts w:ascii="Calibri" w:hAnsi="Calibri"/>
        </w:rPr>
        <w:t xml:space="preserve">(Care Act 2014). </w:t>
      </w:r>
    </w:p>
    <w:p w14:paraId="32851E18" w14:textId="2C157201" w:rsidR="000512DD" w:rsidRPr="000512DD" w:rsidRDefault="000512DD" w:rsidP="000512DD">
      <w:pPr>
        <w:rPr>
          <w:rFonts w:ascii="Calibri" w:hAnsi="Calibri"/>
          <w:b/>
          <w:color w:val="099BDD" w:themeColor="text2"/>
        </w:rPr>
      </w:pPr>
      <w:r w:rsidRPr="000512DD">
        <w:rPr>
          <w:rFonts w:ascii="Calibri" w:hAnsi="Calibri"/>
          <w:b/>
          <w:color w:val="099BDD" w:themeColor="text2"/>
        </w:rPr>
        <w:lastRenderedPageBreak/>
        <w:t>Types of Abuse</w:t>
      </w:r>
      <w:r w:rsidR="00D711B4">
        <w:rPr>
          <w:rFonts w:ascii="Calibri" w:hAnsi="Calibri"/>
          <w:b/>
          <w:color w:val="099BDD" w:themeColor="text2"/>
        </w:rPr>
        <w:t xml:space="preserve"> from the Care Act 2014</w:t>
      </w:r>
    </w:p>
    <w:p w14:paraId="37E0526A" w14:textId="77777777" w:rsidR="000512DD" w:rsidRPr="000512DD" w:rsidRDefault="000512DD" w:rsidP="000512DD">
      <w:pPr>
        <w:rPr>
          <w:rFonts w:ascii="Calibri" w:hAnsi="Calibri"/>
        </w:rPr>
      </w:pPr>
      <w:r w:rsidRPr="000512DD">
        <w:rPr>
          <w:rFonts w:ascii="Calibri" w:hAnsi="Calibri"/>
        </w:rPr>
        <w:t>The following definiti</w:t>
      </w:r>
      <w:r>
        <w:rPr>
          <w:rFonts w:ascii="Calibri" w:hAnsi="Calibri"/>
        </w:rPr>
        <w:t>ons are covered by this policy:</w:t>
      </w:r>
    </w:p>
    <w:p w14:paraId="33C6823A" w14:textId="77777777" w:rsidR="000512DD" w:rsidRDefault="000512DD" w:rsidP="00721E74">
      <w:pPr>
        <w:pStyle w:val="ListParagraph"/>
        <w:numPr>
          <w:ilvl w:val="0"/>
          <w:numId w:val="3"/>
        </w:numPr>
        <w:rPr>
          <w:rFonts w:ascii="Calibri" w:hAnsi="Calibri"/>
        </w:rPr>
      </w:pPr>
      <w:r w:rsidRPr="000512DD">
        <w:rPr>
          <w:rFonts w:ascii="Calibri" w:hAnsi="Calibri"/>
          <w:b/>
          <w:color w:val="099BDD" w:themeColor="text2"/>
        </w:rPr>
        <w:t>Physical abuse</w:t>
      </w:r>
      <w:r w:rsidRPr="000512DD">
        <w:rPr>
          <w:rFonts w:ascii="Calibri" w:hAnsi="Calibri"/>
        </w:rPr>
        <w:t xml:space="preserve"> - including hitting, slapping, pushing, kicking, misuse of medication or inappropriate </w:t>
      </w:r>
      <w:r w:rsidR="00CB0E38">
        <w:rPr>
          <w:rFonts w:ascii="Calibri" w:hAnsi="Calibri"/>
        </w:rPr>
        <w:t xml:space="preserve">physical </w:t>
      </w:r>
      <w:r w:rsidRPr="000512DD">
        <w:rPr>
          <w:rFonts w:ascii="Calibri" w:hAnsi="Calibri"/>
        </w:rPr>
        <w:t>sanctions or restraint.</w:t>
      </w:r>
    </w:p>
    <w:p w14:paraId="617EBD1D" w14:textId="77777777" w:rsidR="00CB0E38" w:rsidRPr="000512DD" w:rsidRDefault="00CB0E38" w:rsidP="00721E74">
      <w:pPr>
        <w:pStyle w:val="ListParagraph"/>
        <w:numPr>
          <w:ilvl w:val="0"/>
          <w:numId w:val="3"/>
        </w:numPr>
        <w:rPr>
          <w:rFonts w:ascii="Calibri" w:hAnsi="Calibri"/>
        </w:rPr>
      </w:pPr>
      <w:r>
        <w:rPr>
          <w:rFonts w:ascii="Calibri" w:hAnsi="Calibri"/>
          <w:b/>
          <w:color w:val="099BDD" w:themeColor="text2"/>
        </w:rPr>
        <w:t xml:space="preserve">Domestic violence </w:t>
      </w:r>
      <w:r>
        <w:rPr>
          <w:rFonts w:ascii="Calibri" w:hAnsi="Calibri"/>
        </w:rPr>
        <w:t xml:space="preserve">– including </w:t>
      </w:r>
      <w:r w:rsidR="00295DEB">
        <w:rPr>
          <w:rFonts w:ascii="Calibri" w:hAnsi="Calibri"/>
        </w:rPr>
        <w:t>psychological</w:t>
      </w:r>
      <w:r>
        <w:rPr>
          <w:rFonts w:ascii="Calibri" w:hAnsi="Calibri"/>
        </w:rPr>
        <w:t xml:space="preserve">, physical, sexual, financial, emotional </w:t>
      </w:r>
      <w:r w:rsidR="00295DEB">
        <w:rPr>
          <w:rFonts w:ascii="Calibri" w:hAnsi="Calibri"/>
        </w:rPr>
        <w:t>abuse</w:t>
      </w:r>
      <w:r>
        <w:rPr>
          <w:rFonts w:ascii="Calibri" w:hAnsi="Calibri"/>
        </w:rPr>
        <w:t>, so called ‘</w:t>
      </w:r>
      <w:proofErr w:type="spellStart"/>
      <w:r>
        <w:rPr>
          <w:rFonts w:ascii="Calibri" w:hAnsi="Calibri"/>
        </w:rPr>
        <w:t>honour</w:t>
      </w:r>
      <w:proofErr w:type="spellEnd"/>
      <w:r>
        <w:rPr>
          <w:rFonts w:ascii="Calibri" w:hAnsi="Calibri"/>
        </w:rPr>
        <w:t xml:space="preserve">’ based violence. </w:t>
      </w:r>
    </w:p>
    <w:p w14:paraId="5629FDC4" w14:textId="77777777" w:rsidR="000512DD" w:rsidRPr="000512DD" w:rsidRDefault="000512DD" w:rsidP="00721E74">
      <w:pPr>
        <w:pStyle w:val="ListParagraph"/>
        <w:numPr>
          <w:ilvl w:val="0"/>
          <w:numId w:val="3"/>
        </w:numPr>
        <w:rPr>
          <w:rFonts w:ascii="Calibri" w:hAnsi="Calibri"/>
        </w:rPr>
      </w:pPr>
      <w:r w:rsidRPr="000512DD">
        <w:rPr>
          <w:rFonts w:ascii="Calibri" w:hAnsi="Calibri"/>
          <w:b/>
          <w:color w:val="099BDD" w:themeColor="text2"/>
        </w:rPr>
        <w:t>Sexual abuse</w:t>
      </w:r>
      <w:r w:rsidRPr="000512DD">
        <w:rPr>
          <w:rFonts w:ascii="Calibri" w:hAnsi="Calibri"/>
        </w:rPr>
        <w:t xml:space="preserve"> - including rape</w:t>
      </w:r>
      <w:r w:rsidR="00CB0E38">
        <w:rPr>
          <w:rFonts w:ascii="Calibri" w:hAnsi="Calibri"/>
        </w:rPr>
        <w:t xml:space="preserve">, </w:t>
      </w:r>
      <w:r w:rsidR="00295DEB">
        <w:rPr>
          <w:rFonts w:ascii="Calibri" w:hAnsi="Calibri"/>
        </w:rPr>
        <w:t>indecent</w:t>
      </w:r>
      <w:r w:rsidR="00CB0E38">
        <w:rPr>
          <w:rFonts w:ascii="Calibri" w:hAnsi="Calibri"/>
        </w:rPr>
        <w:t xml:space="preserve"> exposure, sexual harassment, inappropriate looking or touching, sexual teasing or innuendo, sexual photography, subjection to pornography or witnessing sexual acts, indecent exposure, sexual assault, sexual acts to which the adult has not consented or was pressured into consenting.</w:t>
      </w:r>
    </w:p>
    <w:p w14:paraId="23F92830" w14:textId="77777777" w:rsidR="000512DD" w:rsidRPr="000512DD" w:rsidRDefault="000512DD" w:rsidP="00721E74">
      <w:pPr>
        <w:pStyle w:val="ListParagraph"/>
        <w:numPr>
          <w:ilvl w:val="0"/>
          <w:numId w:val="3"/>
        </w:numPr>
        <w:rPr>
          <w:rFonts w:ascii="Calibri" w:hAnsi="Calibri"/>
        </w:rPr>
      </w:pPr>
      <w:r w:rsidRPr="000512DD">
        <w:rPr>
          <w:rFonts w:ascii="Calibri" w:hAnsi="Calibri"/>
          <w:b/>
          <w:color w:val="099BDD" w:themeColor="text2"/>
        </w:rPr>
        <w:t>Psychological abuse</w:t>
      </w:r>
      <w:r w:rsidRPr="000512DD">
        <w:rPr>
          <w:rFonts w:ascii="Calibri" w:hAnsi="Calibri"/>
        </w:rPr>
        <w:t xml:space="preserve"> - including emotional abuse, threats of harm or abandonment, deprivation of contact, humiliation or blaming</w:t>
      </w:r>
      <w:r w:rsidR="00CB0E38">
        <w:rPr>
          <w:rFonts w:ascii="Calibri" w:hAnsi="Calibri"/>
        </w:rPr>
        <w:t>, controlling, intimidation, coercion, harassment, verbal abuse, cyber bullying, isolation and unreasonable and unjustified withdrawal of services or supportive networks</w:t>
      </w:r>
      <w:r w:rsidRPr="000512DD">
        <w:rPr>
          <w:rFonts w:ascii="Calibri" w:hAnsi="Calibri"/>
        </w:rPr>
        <w:t>.</w:t>
      </w:r>
    </w:p>
    <w:p w14:paraId="28878711" w14:textId="14F1E5AB" w:rsidR="00295DEB" w:rsidRDefault="000512DD" w:rsidP="00295DEB">
      <w:pPr>
        <w:pStyle w:val="ListParagraph"/>
        <w:numPr>
          <w:ilvl w:val="0"/>
          <w:numId w:val="3"/>
        </w:numPr>
        <w:rPr>
          <w:rFonts w:ascii="Calibri" w:hAnsi="Calibri"/>
        </w:rPr>
      </w:pPr>
      <w:r w:rsidRPr="000512DD">
        <w:rPr>
          <w:rFonts w:ascii="Calibri" w:hAnsi="Calibri"/>
          <w:b/>
          <w:color w:val="099BDD" w:themeColor="text2"/>
        </w:rPr>
        <w:t>Financial or material abuse</w:t>
      </w:r>
      <w:r w:rsidRPr="000512DD">
        <w:rPr>
          <w:rFonts w:ascii="Calibri" w:hAnsi="Calibri"/>
        </w:rPr>
        <w:t xml:space="preserve"> - including theft, fraud, exploitation, </w:t>
      </w:r>
      <w:r w:rsidR="00CB0E38">
        <w:rPr>
          <w:rFonts w:ascii="Calibri" w:hAnsi="Calibri"/>
        </w:rPr>
        <w:t xml:space="preserve">internet scamming, coercion in relation to an adult’s financial </w:t>
      </w:r>
      <w:r w:rsidR="00980618">
        <w:rPr>
          <w:rFonts w:ascii="Calibri" w:hAnsi="Calibri"/>
        </w:rPr>
        <w:t>affairs</w:t>
      </w:r>
      <w:r w:rsidR="00CB0E38">
        <w:rPr>
          <w:rFonts w:ascii="Calibri" w:hAnsi="Calibri"/>
        </w:rPr>
        <w:t xml:space="preserve"> or arrangements including in connection with will, property, inheritance or </w:t>
      </w:r>
      <w:r w:rsidR="00980618">
        <w:rPr>
          <w:rFonts w:ascii="Calibri" w:hAnsi="Calibri"/>
        </w:rPr>
        <w:t>financial</w:t>
      </w:r>
      <w:r w:rsidR="00CB0E38">
        <w:rPr>
          <w:rFonts w:ascii="Calibri" w:hAnsi="Calibri"/>
        </w:rPr>
        <w:t xml:space="preserve"> transactions, </w:t>
      </w:r>
      <w:r w:rsidRPr="000512DD">
        <w:rPr>
          <w:rFonts w:ascii="Calibri" w:hAnsi="Calibri"/>
        </w:rPr>
        <w:t>misuse or misappropriation of property, possessions or benefits.</w:t>
      </w:r>
    </w:p>
    <w:p w14:paraId="7255518B" w14:textId="5FA48955" w:rsidR="00CB0E38" w:rsidRPr="00295DEB" w:rsidRDefault="00CB0E38" w:rsidP="00295DEB">
      <w:pPr>
        <w:pStyle w:val="ListParagraph"/>
        <w:numPr>
          <w:ilvl w:val="0"/>
          <w:numId w:val="3"/>
        </w:numPr>
        <w:rPr>
          <w:rFonts w:ascii="Calibri" w:hAnsi="Calibri"/>
        </w:rPr>
      </w:pPr>
      <w:r w:rsidRPr="00295DEB">
        <w:rPr>
          <w:rFonts w:ascii="Calibri" w:hAnsi="Calibri"/>
          <w:b/>
          <w:color w:val="099BDD" w:themeColor="text2"/>
        </w:rPr>
        <w:t xml:space="preserve">Modern slavery encompasses </w:t>
      </w:r>
      <w:r w:rsidRPr="00295DEB">
        <w:rPr>
          <w:rFonts w:ascii="Calibri" w:hAnsi="Calibri"/>
        </w:rPr>
        <w:t xml:space="preserve">– </w:t>
      </w:r>
      <w:r w:rsidRPr="00980618">
        <w:rPr>
          <w:rFonts w:ascii="Calibri" w:hAnsi="Calibri" w:cs="Calibri"/>
          <w:lang w:val="en"/>
        </w:rPr>
        <w:t xml:space="preserve">slavery, human trafficking, forced </w:t>
      </w:r>
      <w:proofErr w:type="spellStart"/>
      <w:r w:rsidRPr="00980618">
        <w:rPr>
          <w:rFonts w:ascii="Calibri" w:hAnsi="Calibri" w:cs="Calibri"/>
          <w:lang w:val="en"/>
        </w:rPr>
        <w:t>labour</w:t>
      </w:r>
      <w:proofErr w:type="spellEnd"/>
      <w:r w:rsidRPr="00980618">
        <w:rPr>
          <w:rFonts w:ascii="Calibri" w:hAnsi="Calibri" w:cs="Calibri"/>
          <w:lang w:val="en"/>
        </w:rPr>
        <w:t xml:space="preserve"> and domestic </w:t>
      </w:r>
      <w:r w:rsidR="00295DEB" w:rsidRPr="00980618">
        <w:rPr>
          <w:rFonts w:ascii="Calibri" w:hAnsi="Calibri" w:cs="Calibri"/>
          <w:lang w:val="en"/>
        </w:rPr>
        <w:t>servitude. Traffickers</w:t>
      </w:r>
      <w:r w:rsidRPr="00980618">
        <w:rPr>
          <w:rFonts w:ascii="Calibri" w:hAnsi="Calibri" w:cs="Calibri"/>
          <w:lang w:val="en"/>
        </w:rPr>
        <w:t xml:space="preserve"> and slave masters using whatever means they have at their disposal to coerce, deceive and force individuals into a life of abuse, servitude and inhumane treatment</w:t>
      </w:r>
      <w:r w:rsidR="00295DEB" w:rsidRPr="00980618">
        <w:rPr>
          <w:rFonts w:ascii="Calibri" w:hAnsi="Calibri" w:cs="Calibri"/>
          <w:lang w:val="en"/>
        </w:rPr>
        <w:t xml:space="preserve">. </w:t>
      </w:r>
      <w:r w:rsidR="00980618" w:rsidRPr="00980618">
        <w:rPr>
          <w:rFonts w:ascii="Calibri" w:hAnsi="Calibri" w:cs="Calibri"/>
          <w:lang w:val="en"/>
        </w:rPr>
        <w:t xml:space="preserve">See </w:t>
      </w:r>
      <w:hyperlink r:id="rId9" w:history="1">
        <w:r w:rsidRPr="00980618">
          <w:rPr>
            <w:rStyle w:val="Hyperlink"/>
            <w:rFonts w:ascii="Calibri" w:eastAsiaTheme="majorEastAsia" w:hAnsi="Calibri" w:cs="Calibri"/>
            <w:lang w:val="en"/>
          </w:rPr>
          <w:t>Modern slavery:</w:t>
        </w:r>
        <w:r w:rsidR="00295DEB" w:rsidRPr="00980618">
          <w:rPr>
            <w:rStyle w:val="Hyperlink"/>
            <w:rFonts w:ascii="Calibri" w:eastAsiaTheme="majorEastAsia" w:hAnsi="Calibri" w:cs="Calibri"/>
            <w:lang w:val="en"/>
          </w:rPr>
          <w:t xml:space="preserve"> </w:t>
        </w:r>
        <w:r w:rsidRPr="00980618">
          <w:rPr>
            <w:rStyle w:val="Hyperlink"/>
            <w:rFonts w:ascii="Calibri" w:eastAsiaTheme="majorEastAsia" w:hAnsi="Calibri" w:cs="Calibri"/>
            <w:lang w:val="en"/>
          </w:rPr>
          <w:t>how the UK is leading the fight</w:t>
        </w:r>
      </w:hyperlink>
      <w:r w:rsidRPr="00980618">
        <w:rPr>
          <w:rFonts w:ascii="Calibri" w:hAnsi="Calibri" w:cs="Calibri"/>
          <w:lang w:val="en"/>
        </w:rPr>
        <w:t xml:space="preserve"> for further information</w:t>
      </w:r>
      <w:r w:rsidR="00980618">
        <w:rPr>
          <w:rFonts w:ascii="Calibri" w:hAnsi="Calibri" w:cs="Calibri"/>
          <w:lang w:val="en"/>
        </w:rPr>
        <w:t>.</w:t>
      </w:r>
    </w:p>
    <w:p w14:paraId="4E262E71" w14:textId="77777777" w:rsidR="000512DD" w:rsidRPr="000512DD" w:rsidRDefault="000512DD" w:rsidP="00721E74">
      <w:pPr>
        <w:pStyle w:val="ListParagraph"/>
        <w:numPr>
          <w:ilvl w:val="0"/>
          <w:numId w:val="3"/>
        </w:numPr>
        <w:rPr>
          <w:rFonts w:ascii="Calibri" w:hAnsi="Calibri"/>
        </w:rPr>
      </w:pPr>
      <w:r w:rsidRPr="000512DD">
        <w:rPr>
          <w:rFonts w:ascii="Calibri" w:hAnsi="Calibri"/>
          <w:b/>
          <w:color w:val="099BDD" w:themeColor="text2"/>
        </w:rPr>
        <w:t>Neglect and acts of omission</w:t>
      </w:r>
      <w:r w:rsidRPr="000512DD">
        <w:rPr>
          <w:rFonts w:ascii="Calibri" w:hAnsi="Calibri"/>
        </w:rPr>
        <w:t xml:space="preserve"> - including ignoring medical or physical care needs, failure to provide access to appropriate health, social care, or educational services, the withholding of the necessities of life, such as medication, adequate nutrition and heating.</w:t>
      </w:r>
    </w:p>
    <w:p w14:paraId="29D08316" w14:textId="71998BAE" w:rsidR="00295DEB" w:rsidRPr="00295DEB" w:rsidRDefault="000512DD" w:rsidP="00295DEB">
      <w:pPr>
        <w:pStyle w:val="ListParagraph"/>
        <w:numPr>
          <w:ilvl w:val="0"/>
          <w:numId w:val="3"/>
        </w:numPr>
        <w:rPr>
          <w:rFonts w:ascii="Calibri" w:hAnsi="Calibri"/>
        </w:rPr>
      </w:pPr>
      <w:r w:rsidRPr="00295DEB">
        <w:rPr>
          <w:rFonts w:ascii="Calibri" w:hAnsi="Calibri"/>
          <w:b/>
          <w:color w:val="099BDD" w:themeColor="text2"/>
        </w:rPr>
        <w:t>Discriminatory abuse</w:t>
      </w:r>
      <w:r w:rsidRPr="00295DEB">
        <w:rPr>
          <w:rFonts w:ascii="Calibri" w:hAnsi="Calibri"/>
        </w:rPr>
        <w:t xml:space="preserve"> </w:t>
      </w:r>
      <w:r w:rsidR="00295DEB" w:rsidRPr="00295DEB">
        <w:rPr>
          <w:rFonts w:ascii="Calibri" w:hAnsi="Calibri"/>
        </w:rPr>
        <w:t>–</w:t>
      </w:r>
      <w:r w:rsidRPr="00980618">
        <w:rPr>
          <w:rFonts w:ascii="Calibri" w:hAnsi="Calibri" w:cs="Calibri"/>
        </w:rPr>
        <w:t xml:space="preserve"> </w:t>
      </w:r>
      <w:r w:rsidR="00295DEB" w:rsidRPr="00980618">
        <w:rPr>
          <w:rFonts w:ascii="Calibri" w:hAnsi="Calibri" w:cs="Calibri"/>
        </w:rPr>
        <w:t xml:space="preserve">harassment, slurs or similar treatment because of </w:t>
      </w:r>
      <w:r w:rsidRPr="00980618">
        <w:rPr>
          <w:rFonts w:ascii="Calibri" w:hAnsi="Calibri" w:cs="Calibri"/>
        </w:rPr>
        <w:t>race, gender</w:t>
      </w:r>
      <w:r w:rsidR="00CB0E38" w:rsidRPr="00980618">
        <w:rPr>
          <w:rFonts w:ascii="Calibri" w:hAnsi="Calibri" w:cs="Calibri"/>
        </w:rPr>
        <w:t xml:space="preserve"> and gender identity</w:t>
      </w:r>
      <w:r w:rsidRPr="00980618">
        <w:rPr>
          <w:rFonts w:ascii="Calibri" w:hAnsi="Calibri" w:cs="Calibri"/>
        </w:rPr>
        <w:t xml:space="preserve">, cultural background, religion, physical and/or sensory impairment, sexual orientation and age. </w:t>
      </w:r>
      <w:r w:rsidR="00295DEB" w:rsidRPr="00980618">
        <w:rPr>
          <w:rFonts w:ascii="Calibri" w:hAnsi="Calibri" w:cs="Calibri"/>
          <w:lang w:val="en"/>
        </w:rPr>
        <w:t xml:space="preserve">Read </w:t>
      </w:r>
      <w:hyperlink r:id="rId10" w:history="1">
        <w:r w:rsidR="00295DEB" w:rsidRPr="00980618">
          <w:rPr>
            <w:rStyle w:val="Hyperlink"/>
            <w:rFonts w:ascii="Calibri" w:hAnsi="Calibri" w:cs="Calibri"/>
            <w:lang w:val="en"/>
          </w:rPr>
          <w:t>Discrimination: your rights</w:t>
        </w:r>
      </w:hyperlink>
      <w:r w:rsidR="00295DEB" w:rsidRPr="00980618">
        <w:rPr>
          <w:rFonts w:ascii="Calibri" w:hAnsi="Calibri" w:cs="Calibri"/>
          <w:lang w:val="en"/>
        </w:rPr>
        <w:t xml:space="preserve"> for further information</w:t>
      </w:r>
      <w:r w:rsidR="00980618">
        <w:rPr>
          <w:rFonts w:ascii="Calibri" w:hAnsi="Calibri" w:cs="Calibri"/>
          <w:lang w:val="en"/>
        </w:rPr>
        <w:t>.</w:t>
      </w:r>
      <w:r w:rsidR="00295DEB" w:rsidRPr="00295DEB">
        <w:rPr>
          <w:rFonts w:ascii="Calibri" w:hAnsi="Calibri"/>
          <w:b/>
          <w:color w:val="099BDD" w:themeColor="text2"/>
        </w:rPr>
        <w:t xml:space="preserve"> </w:t>
      </w:r>
    </w:p>
    <w:p w14:paraId="6B387ADF" w14:textId="2E4453BD" w:rsidR="00A04C2E" w:rsidRPr="00A04C2E" w:rsidRDefault="00A04C2E" w:rsidP="00A04C2E">
      <w:pPr>
        <w:pStyle w:val="ListParagraph"/>
        <w:numPr>
          <w:ilvl w:val="0"/>
          <w:numId w:val="3"/>
        </w:numPr>
        <w:rPr>
          <w:rFonts w:ascii="Calibri" w:hAnsi="Calibri" w:cs="Calibri"/>
        </w:rPr>
      </w:pPr>
      <w:proofErr w:type="spellStart"/>
      <w:r w:rsidRPr="00295DEB">
        <w:rPr>
          <w:rFonts w:ascii="Calibri" w:hAnsi="Calibri"/>
          <w:b/>
          <w:color w:val="099BDD" w:themeColor="text2"/>
        </w:rPr>
        <w:t>Organisational</w:t>
      </w:r>
      <w:proofErr w:type="spellEnd"/>
      <w:r w:rsidR="00295DEB" w:rsidRPr="00295DEB">
        <w:rPr>
          <w:rFonts w:ascii="Calibri" w:hAnsi="Calibri"/>
          <w:b/>
          <w:color w:val="099BDD" w:themeColor="text2"/>
        </w:rPr>
        <w:t xml:space="preserve"> abuse </w:t>
      </w:r>
      <w:r w:rsidR="00295DEB" w:rsidRPr="00980618">
        <w:rPr>
          <w:rFonts w:ascii="Calibri" w:hAnsi="Calibri" w:cs="Calibri"/>
          <w:lang w:val="en"/>
        </w:rPr>
        <w:t xml:space="preserve">Including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w:t>
      </w:r>
      <w:proofErr w:type="spellStart"/>
      <w:r w:rsidR="00295DEB" w:rsidRPr="00980618">
        <w:rPr>
          <w:rFonts w:ascii="Calibri" w:hAnsi="Calibri" w:cs="Calibri"/>
          <w:lang w:val="en"/>
        </w:rPr>
        <w:t>organisation</w:t>
      </w:r>
      <w:proofErr w:type="spellEnd"/>
      <w:r w:rsidR="00295DEB" w:rsidRPr="00980618">
        <w:rPr>
          <w:rFonts w:ascii="Calibri" w:hAnsi="Calibri" w:cs="Calibri"/>
          <w:lang w:val="en"/>
        </w:rPr>
        <w:t>.</w:t>
      </w:r>
    </w:p>
    <w:p w14:paraId="73DD4251" w14:textId="152BFA77" w:rsidR="00A04C2E" w:rsidRPr="00A04C2E" w:rsidRDefault="00613088" w:rsidP="00613088">
      <w:pPr>
        <w:pStyle w:val="ListParagraph"/>
        <w:numPr>
          <w:ilvl w:val="0"/>
          <w:numId w:val="3"/>
        </w:numPr>
        <w:rPr>
          <w:rFonts w:ascii="Calibri" w:hAnsi="Calibri" w:cs="Calibri"/>
        </w:rPr>
      </w:pPr>
      <w:r w:rsidRPr="00A04C2E">
        <w:rPr>
          <w:rFonts w:ascii="Calibri" w:hAnsi="Calibri"/>
          <w:b/>
          <w:color w:val="099BDD" w:themeColor="text2"/>
        </w:rPr>
        <w:t>Self–neglect and hoarding:</w:t>
      </w:r>
      <w:r w:rsidRPr="00A04C2E">
        <w:rPr>
          <w:rFonts w:ascii="Calibri" w:hAnsi="Calibri" w:cs="Calibri"/>
          <w:lang w:val="en"/>
        </w:rPr>
        <w:t xml:space="preserve"> This includes a broad spectrum of </w:t>
      </w:r>
      <w:proofErr w:type="spellStart"/>
      <w:r w:rsidRPr="00A04C2E">
        <w:rPr>
          <w:rFonts w:ascii="Calibri" w:hAnsi="Calibri" w:cs="Calibri"/>
          <w:lang w:val="en"/>
        </w:rPr>
        <w:t>behaviour</w:t>
      </w:r>
      <w:proofErr w:type="spellEnd"/>
      <w:r w:rsidRPr="00A04C2E">
        <w:rPr>
          <w:rFonts w:ascii="Calibri" w:hAnsi="Calibri" w:cs="Calibri"/>
          <w:lang w:val="en"/>
        </w:rPr>
        <w:t xml:space="preserve">. The Care Act 2014 statutory guidance defines </w:t>
      </w:r>
      <w:r w:rsidR="00A04C2E" w:rsidRPr="00A04C2E">
        <w:rPr>
          <w:rFonts w:ascii="Calibri" w:hAnsi="Calibri" w:cs="Calibri"/>
          <w:lang w:val="en"/>
        </w:rPr>
        <w:t>self-neglect</w:t>
      </w:r>
      <w:r w:rsidRPr="00A04C2E">
        <w:rPr>
          <w:rFonts w:ascii="Calibri" w:hAnsi="Calibri" w:cs="Calibri"/>
          <w:lang w:val="en"/>
        </w:rPr>
        <w:t xml:space="preserve"> as: “a wide range of </w:t>
      </w:r>
      <w:proofErr w:type="spellStart"/>
      <w:r w:rsidRPr="00A04C2E">
        <w:rPr>
          <w:rFonts w:ascii="Calibri" w:hAnsi="Calibri" w:cs="Calibri"/>
          <w:lang w:val="en"/>
        </w:rPr>
        <w:t>behaviour</w:t>
      </w:r>
      <w:proofErr w:type="spellEnd"/>
      <w:r w:rsidRPr="00A04C2E">
        <w:rPr>
          <w:rFonts w:ascii="Calibri" w:hAnsi="Calibri" w:cs="Calibri"/>
          <w:lang w:val="en"/>
        </w:rPr>
        <w:t xml:space="preserve"> neglecting to care for one’s personal hygiene, health or surroundings and includes </w:t>
      </w:r>
      <w:proofErr w:type="spellStart"/>
      <w:r w:rsidRPr="00A04C2E">
        <w:rPr>
          <w:rFonts w:ascii="Calibri" w:hAnsi="Calibri" w:cs="Calibri"/>
          <w:lang w:val="en"/>
        </w:rPr>
        <w:t>behaviour</w:t>
      </w:r>
      <w:proofErr w:type="spellEnd"/>
      <w:r w:rsidRPr="00A04C2E">
        <w:rPr>
          <w:rFonts w:ascii="Calibri" w:hAnsi="Calibri" w:cs="Calibri"/>
          <w:lang w:val="en"/>
        </w:rPr>
        <w:t xml:space="preserve"> such as hoarding”. </w:t>
      </w:r>
      <w:r w:rsidR="00A04C2E" w:rsidRPr="00A04C2E">
        <w:rPr>
          <w:rFonts w:ascii="Calibri" w:hAnsi="Calibri" w:cs="Calibri"/>
          <w:lang w:val="en"/>
        </w:rPr>
        <w:t>Self-neglect</w:t>
      </w:r>
      <w:r w:rsidRPr="00A04C2E">
        <w:rPr>
          <w:rFonts w:ascii="Calibri" w:hAnsi="Calibri" w:cs="Calibri"/>
          <w:lang w:val="en"/>
        </w:rPr>
        <w:t xml:space="preserve"> is </w:t>
      </w:r>
      <w:proofErr w:type="spellStart"/>
      <w:r w:rsidRPr="00A04C2E">
        <w:rPr>
          <w:rFonts w:ascii="Calibri" w:hAnsi="Calibri" w:cs="Calibri"/>
          <w:lang w:val="en"/>
        </w:rPr>
        <w:t>recognised</w:t>
      </w:r>
      <w:proofErr w:type="spellEnd"/>
      <w:r w:rsidRPr="00A04C2E">
        <w:rPr>
          <w:rFonts w:ascii="Calibri" w:hAnsi="Calibri" w:cs="Calibri"/>
          <w:lang w:val="en"/>
        </w:rPr>
        <w:t xml:space="preserve"> as the failure or unwillingness by an individual to meet their own basic care needs required to maintain health. It should be noted that self-neglect or hoarding may well not prompt a Section 42 Enquiry. An assessment should be made on a case by case basis. A decision on whether a response is required under Safeguarding will depend on an adult’s ability to protect themselves by controlling their own </w:t>
      </w:r>
      <w:proofErr w:type="spellStart"/>
      <w:r w:rsidRPr="00A04C2E">
        <w:rPr>
          <w:rFonts w:ascii="Calibri" w:hAnsi="Calibri" w:cs="Calibri"/>
          <w:lang w:val="en"/>
        </w:rPr>
        <w:t>behaviour</w:t>
      </w:r>
      <w:proofErr w:type="spellEnd"/>
      <w:r w:rsidRPr="00A04C2E">
        <w:rPr>
          <w:rFonts w:ascii="Calibri" w:hAnsi="Calibri" w:cs="Calibri"/>
          <w:lang w:val="en"/>
        </w:rPr>
        <w:t>. There may come a point when they are no longer able to do this, without external support. For more information and guidance about supporting a person who</w:t>
      </w:r>
      <w:r w:rsidR="00A04C2E">
        <w:rPr>
          <w:rFonts w:ascii="Calibri" w:hAnsi="Calibri" w:cs="Calibri"/>
          <w:lang w:val="en"/>
        </w:rPr>
        <w:t xml:space="preserve"> is self-neglecting or hoarding see </w:t>
      </w:r>
      <w:hyperlink r:id="rId11" w:history="1">
        <w:r w:rsidR="00A04C2E" w:rsidRPr="00A04C2E">
          <w:rPr>
            <w:rStyle w:val="Hyperlink"/>
            <w:rFonts w:ascii="Calibri" w:hAnsi="Calibri" w:cs="Calibri"/>
          </w:rPr>
          <w:t>http://www.bpsafeguardingadultsboard.com/uploads/7/4/8/9/74891967/self_neglect_and_hoarding_v2.0_final.pdf</w:t>
        </w:r>
      </w:hyperlink>
      <w:r w:rsidR="00A04C2E" w:rsidRPr="00A04C2E">
        <w:rPr>
          <w:rFonts w:ascii="Calibri" w:hAnsi="Calibri" w:cs="Calibri"/>
        </w:rPr>
        <w:t xml:space="preserve"> </w:t>
      </w:r>
    </w:p>
    <w:p w14:paraId="23EB948E" w14:textId="4D00FDEB" w:rsidR="00613088" w:rsidRDefault="00613088" w:rsidP="00613088">
      <w:pPr>
        <w:rPr>
          <w:rFonts w:ascii="Calibri" w:hAnsi="Calibri" w:cs="Calibri"/>
          <w:highlight w:val="yellow"/>
        </w:rPr>
      </w:pPr>
    </w:p>
    <w:p w14:paraId="3A19F20B" w14:textId="77777777" w:rsidR="0023468D" w:rsidRPr="00613088" w:rsidRDefault="0023468D" w:rsidP="00613088">
      <w:pPr>
        <w:rPr>
          <w:rFonts w:ascii="Calibri" w:hAnsi="Calibri" w:cs="Calibri"/>
          <w:highlight w:val="yellow"/>
        </w:rPr>
      </w:pPr>
    </w:p>
    <w:p w14:paraId="14572FA8" w14:textId="77777777" w:rsidR="000512DD" w:rsidRPr="000512DD" w:rsidRDefault="000512DD" w:rsidP="000512DD">
      <w:pPr>
        <w:pStyle w:val="Heading1"/>
      </w:pPr>
      <w:r>
        <w:t>ROLES</w:t>
      </w:r>
      <w:r w:rsidRPr="000512DD">
        <w:t xml:space="preserve"> and Responsibilities</w:t>
      </w:r>
      <w:r w:rsidRPr="000512DD">
        <w:tab/>
      </w:r>
    </w:p>
    <w:p w14:paraId="6FCBF54D" w14:textId="77777777" w:rsidR="000512DD" w:rsidRPr="0094333D" w:rsidRDefault="000512DD" w:rsidP="000512DD">
      <w:pPr>
        <w:rPr>
          <w:rFonts w:ascii="Calibri" w:hAnsi="Calibri"/>
          <w:b/>
          <w:color w:val="099BDD" w:themeColor="text2"/>
        </w:rPr>
      </w:pPr>
      <w:r>
        <w:rPr>
          <w:rFonts w:ascii="Calibri" w:hAnsi="Calibri"/>
          <w:b/>
          <w:color w:val="099BDD" w:themeColor="text2"/>
        </w:rPr>
        <w:t>Corporate</w:t>
      </w:r>
      <w:r w:rsidRPr="0094333D">
        <w:rPr>
          <w:rFonts w:ascii="Calibri" w:hAnsi="Calibri"/>
          <w:b/>
          <w:color w:val="099BDD" w:themeColor="text2"/>
        </w:rPr>
        <w:t xml:space="preserve"> Governance Director </w:t>
      </w:r>
    </w:p>
    <w:p w14:paraId="7E8E90CB" w14:textId="427B8FA0" w:rsidR="000512DD" w:rsidRDefault="000512DD" w:rsidP="000512DD">
      <w:pPr>
        <w:rPr>
          <w:rFonts w:ascii="Calibri" w:hAnsi="Calibri"/>
        </w:rPr>
      </w:pPr>
      <w:r w:rsidRPr="0094333D">
        <w:rPr>
          <w:rFonts w:ascii="Calibri" w:hAnsi="Calibri"/>
        </w:rPr>
        <w:t xml:space="preserve">The </w:t>
      </w:r>
      <w:r w:rsidR="00AA0B1C">
        <w:rPr>
          <w:rFonts w:ascii="Calibri" w:hAnsi="Calibri"/>
        </w:rPr>
        <w:t>D</w:t>
      </w:r>
      <w:r>
        <w:rPr>
          <w:rFonts w:ascii="Calibri" w:hAnsi="Calibri"/>
        </w:rPr>
        <w:t xml:space="preserve">esignated </w:t>
      </w:r>
      <w:r w:rsidRPr="0094333D">
        <w:rPr>
          <w:rFonts w:ascii="Calibri" w:hAnsi="Calibri"/>
        </w:rPr>
        <w:t xml:space="preserve">Director </w:t>
      </w:r>
      <w:r>
        <w:rPr>
          <w:rFonts w:ascii="Calibri" w:hAnsi="Calibri"/>
        </w:rPr>
        <w:t xml:space="preserve">for responsibility is the Corporate Governance Director who </w:t>
      </w:r>
      <w:r w:rsidRPr="0094333D">
        <w:rPr>
          <w:rFonts w:ascii="Calibri" w:hAnsi="Calibri"/>
        </w:rPr>
        <w:t xml:space="preserve">has ultimate responsibility for </w:t>
      </w:r>
      <w:r>
        <w:rPr>
          <w:rFonts w:ascii="Calibri" w:hAnsi="Calibri"/>
        </w:rPr>
        <w:t xml:space="preserve">safeguarding at Castleman Healthcare Ltd. </w:t>
      </w:r>
    </w:p>
    <w:p w14:paraId="3E55A578" w14:textId="77777777" w:rsidR="000512DD" w:rsidRPr="0094333D" w:rsidRDefault="000512DD" w:rsidP="000512DD">
      <w:pPr>
        <w:rPr>
          <w:rFonts w:ascii="Calibri" w:hAnsi="Calibri"/>
          <w:b/>
          <w:color w:val="099BDD" w:themeColor="text2"/>
        </w:rPr>
      </w:pPr>
      <w:r w:rsidRPr="0094333D">
        <w:rPr>
          <w:rFonts w:ascii="Calibri" w:hAnsi="Calibri"/>
          <w:b/>
          <w:color w:val="099BDD" w:themeColor="text2"/>
        </w:rPr>
        <w:t xml:space="preserve">Designated Safeguarding Doctor </w:t>
      </w:r>
    </w:p>
    <w:p w14:paraId="76B9D1D2" w14:textId="77777777" w:rsidR="000512DD" w:rsidRPr="0094333D" w:rsidRDefault="000512DD" w:rsidP="000512DD">
      <w:pPr>
        <w:rPr>
          <w:rFonts w:ascii="Calibri" w:hAnsi="Calibri"/>
        </w:rPr>
      </w:pPr>
      <w:r>
        <w:rPr>
          <w:rFonts w:ascii="Calibri" w:hAnsi="Calibri"/>
        </w:rPr>
        <w:t xml:space="preserve">The current Designated Doctor for Castleman Healthcare Ltd is </w:t>
      </w:r>
      <w:proofErr w:type="spellStart"/>
      <w:r>
        <w:rPr>
          <w:rFonts w:ascii="Calibri" w:hAnsi="Calibri"/>
        </w:rPr>
        <w:t>Dr</w:t>
      </w:r>
      <w:proofErr w:type="spellEnd"/>
      <w:r>
        <w:rPr>
          <w:rFonts w:ascii="Calibri" w:hAnsi="Calibri"/>
        </w:rPr>
        <w:t xml:space="preserve"> Lionel Cartwright and when he is not available </w:t>
      </w:r>
      <w:proofErr w:type="spellStart"/>
      <w:r>
        <w:rPr>
          <w:rFonts w:ascii="Calibri" w:hAnsi="Calibri"/>
        </w:rPr>
        <w:t>Dr</w:t>
      </w:r>
      <w:proofErr w:type="spellEnd"/>
      <w:r>
        <w:rPr>
          <w:rFonts w:ascii="Calibri" w:hAnsi="Calibri"/>
        </w:rPr>
        <w:t xml:space="preserve"> Sam </w:t>
      </w:r>
      <w:proofErr w:type="spellStart"/>
      <w:r>
        <w:rPr>
          <w:rFonts w:ascii="Calibri" w:hAnsi="Calibri"/>
        </w:rPr>
        <w:t>Ghazawy</w:t>
      </w:r>
      <w:proofErr w:type="spellEnd"/>
      <w:r>
        <w:rPr>
          <w:rFonts w:ascii="Calibri" w:hAnsi="Calibri"/>
        </w:rPr>
        <w:t>.</w:t>
      </w:r>
    </w:p>
    <w:p w14:paraId="51B34E56" w14:textId="77777777" w:rsidR="000512DD" w:rsidRDefault="000512DD" w:rsidP="000512DD">
      <w:pPr>
        <w:rPr>
          <w:rFonts w:ascii="Calibri" w:hAnsi="Calibri"/>
        </w:rPr>
      </w:pPr>
      <w:r w:rsidRPr="0094333D">
        <w:rPr>
          <w:rFonts w:ascii="Calibri" w:hAnsi="Calibri"/>
        </w:rPr>
        <w:t>The designated professions are responsible for ensuring that this policy is implemented in each area and that all staff are fully conversant and compliant with the requirement of any other policies, procedures and guidance relating to the protection of chi</w:t>
      </w:r>
      <w:r>
        <w:rPr>
          <w:rFonts w:ascii="Calibri" w:hAnsi="Calibri"/>
        </w:rPr>
        <w:t xml:space="preserve">ldren. </w:t>
      </w:r>
    </w:p>
    <w:p w14:paraId="66D12C8E" w14:textId="77777777" w:rsidR="000512DD" w:rsidRPr="000512DD" w:rsidRDefault="000512DD" w:rsidP="000512DD">
      <w:pPr>
        <w:rPr>
          <w:rFonts w:ascii="Calibri" w:hAnsi="Calibri"/>
          <w:b/>
          <w:color w:val="099BDD" w:themeColor="text2"/>
        </w:rPr>
      </w:pPr>
      <w:r w:rsidRPr="000512DD">
        <w:rPr>
          <w:rFonts w:ascii="Calibri" w:hAnsi="Calibri"/>
          <w:b/>
          <w:color w:val="099BDD" w:themeColor="text2"/>
        </w:rPr>
        <w:t>All staff</w:t>
      </w:r>
    </w:p>
    <w:p w14:paraId="01A73256" w14:textId="32705DDB" w:rsidR="000512DD" w:rsidRPr="000512DD" w:rsidRDefault="000512DD" w:rsidP="000512DD">
      <w:pPr>
        <w:rPr>
          <w:rFonts w:ascii="Calibri" w:hAnsi="Calibri"/>
        </w:rPr>
      </w:pPr>
      <w:r w:rsidRPr="000512DD">
        <w:rPr>
          <w:rFonts w:ascii="Calibri" w:hAnsi="Calibri"/>
        </w:rPr>
        <w:t xml:space="preserve">All staff have a responsibility to report any actual or suspected case of adult abuse </w:t>
      </w:r>
      <w:r w:rsidR="0089661E">
        <w:rPr>
          <w:rFonts w:ascii="Calibri" w:hAnsi="Calibri"/>
        </w:rPr>
        <w:t>to the LA safeguarding team</w:t>
      </w:r>
      <w:r w:rsidR="00D711B4">
        <w:rPr>
          <w:rFonts w:ascii="Calibri" w:hAnsi="Calibri"/>
        </w:rPr>
        <w:t xml:space="preserve"> and t</w:t>
      </w:r>
      <w:r w:rsidRPr="000512DD">
        <w:rPr>
          <w:rFonts w:ascii="Calibri" w:hAnsi="Calibri"/>
        </w:rPr>
        <w:t>o the most senior person on duty in their area.</w:t>
      </w:r>
    </w:p>
    <w:p w14:paraId="0642AC31" w14:textId="77777777" w:rsidR="000512DD" w:rsidRPr="000512DD" w:rsidRDefault="00AC6F43" w:rsidP="000512DD">
      <w:pPr>
        <w:pStyle w:val="Heading1"/>
      </w:pPr>
      <w:r>
        <w:t xml:space="preserve">life free from harm and abuse </w:t>
      </w:r>
    </w:p>
    <w:p w14:paraId="4B3116E3" w14:textId="111C1300" w:rsidR="00DF538B" w:rsidRPr="000512DD" w:rsidRDefault="000512DD" w:rsidP="00DF538B">
      <w:pPr>
        <w:rPr>
          <w:rFonts w:ascii="Calibri" w:hAnsi="Calibri"/>
        </w:rPr>
      </w:pPr>
      <w:r w:rsidRPr="000512DD">
        <w:rPr>
          <w:rFonts w:ascii="Calibri" w:hAnsi="Calibri"/>
        </w:rPr>
        <w:t>Living a life that is free from harm and abuse is a fundamental human right of every person and an essential requirement for health and well-being. Healthcare staff are often working with patients who, for a range of reasons, may be less able to protect themselves from neglect, harm or abuse</w:t>
      </w:r>
      <w:r w:rsidR="00DF538B">
        <w:rPr>
          <w:rFonts w:ascii="Calibri" w:hAnsi="Calibri"/>
        </w:rPr>
        <w:t xml:space="preserve"> (the Mental Capacity Act). </w:t>
      </w:r>
      <w:r w:rsidRPr="000512DD">
        <w:rPr>
          <w:rFonts w:ascii="Calibri" w:hAnsi="Calibri"/>
        </w:rPr>
        <w:t xml:space="preserve">Safeguarding </w:t>
      </w:r>
      <w:r w:rsidR="0072444D" w:rsidRPr="000512DD">
        <w:rPr>
          <w:rFonts w:ascii="Calibri" w:hAnsi="Calibri"/>
        </w:rPr>
        <w:t>adult’s</w:t>
      </w:r>
      <w:r w:rsidRPr="000512DD">
        <w:rPr>
          <w:rFonts w:ascii="Calibri" w:hAnsi="Calibri"/>
        </w:rPr>
        <w:t xml:space="preserve"> concerns vary according to the nature of harm, the circumstances it arose in and the people concerned.</w:t>
      </w:r>
      <w:r w:rsidR="00AA0B1C">
        <w:rPr>
          <w:rFonts w:ascii="Calibri" w:hAnsi="Calibri"/>
        </w:rPr>
        <w:t xml:space="preserve"> </w:t>
      </w:r>
    </w:p>
    <w:p w14:paraId="5ACF362F" w14:textId="3F8D01FC" w:rsidR="000512DD" w:rsidRPr="000512DD" w:rsidRDefault="000512DD" w:rsidP="000512DD">
      <w:pPr>
        <w:rPr>
          <w:rFonts w:ascii="Calibri" w:hAnsi="Calibri"/>
          <w:b/>
          <w:color w:val="099BDD" w:themeColor="text2"/>
        </w:rPr>
      </w:pPr>
      <w:r w:rsidRPr="000512DD">
        <w:rPr>
          <w:rFonts w:ascii="Calibri" w:hAnsi="Calibri"/>
          <w:b/>
          <w:color w:val="099BDD" w:themeColor="text2"/>
        </w:rPr>
        <w:t>Type of harm and abuse</w:t>
      </w:r>
    </w:p>
    <w:p w14:paraId="5A5E9EA3" w14:textId="77777777" w:rsidR="000512DD" w:rsidRDefault="000512DD" w:rsidP="000512DD">
      <w:pPr>
        <w:rPr>
          <w:rFonts w:ascii="Calibri" w:hAnsi="Calibri"/>
        </w:rPr>
      </w:pPr>
      <w:r w:rsidRPr="000512DD">
        <w:rPr>
          <w:rFonts w:ascii="Calibri" w:hAnsi="Calibri"/>
        </w:rPr>
        <w:t xml:space="preserve">Harm or abuse can take place in a wide range of settings such as within regulated services and within people’s own homes. The cause of harm and abuse may similarly be wide ranging e.g. harm caused unintentionally by an unsupported </w:t>
      </w:r>
      <w:proofErr w:type="spellStart"/>
      <w:r w:rsidRPr="000512DD">
        <w:rPr>
          <w:rFonts w:ascii="Calibri" w:hAnsi="Calibri"/>
        </w:rPr>
        <w:t>carer</w:t>
      </w:r>
      <w:proofErr w:type="spellEnd"/>
      <w:r w:rsidRPr="000512DD">
        <w:rPr>
          <w:rFonts w:ascii="Calibri" w:hAnsi="Calibri"/>
        </w:rPr>
        <w:t xml:space="preserve">; neglect caused by staff or a service; abuse which is caused through </w:t>
      </w:r>
      <w:r>
        <w:rPr>
          <w:rFonts w:ascii="Calibri" w:hAnsi="Calibri"/>
        </w:rPr>
        <w:t>recklessness or is intentional.</w:t>
      </w:r>
    </w:p>
    <w:p w14:paraId="643BA136" w14:textId="332BBA93" w:rsidR="000512DD" w:rsidRPr="000512DD" w:rsidRDefault="000512DD" w:rsidP="000512DD">
      <w:pPr>
        <w:pStyle w:val="Heading1"/>
      </w:pPr>
      <w:r>
        <w:t xml:space="preserve">Process for reporting abuse </w:t>
      </w:r>
    </w:p>
    <w:p w14:paraId="5EA4833F" w14:textId="77777777" w:rsidR="000512DD" w:rsidRPr="000512DD" w:rsidRDefault="000512DD" w:rsidP="000512DD">
      <w:pPr>
        <w:rPr>
          <w:rFonts w:ascii="Calibri" w:hAnsi="Calibri"/>
          <w:b/>
          <w:color w:val="099BDD" w:themeColor="text2"/>
        </w:rPr>
      </w:pPr>
      <w:r w:rsidRPr="000512DD">
        <w:rPr>
          <w:rFonts w:ascii="Calibri" w:hAnsi="Calibri"/>
          <w:b/>
          <w:color w:val="099BDD" w:themeColor="text2"/>
        </w:rPr>
        <w:t>What to do when abuse is suspected</w:t>
      </w:r>
    </w:p>
    <w:p w14:paraId="684BFC53" w14:textId="185720F5" w:rsidR="000512DD" w:rsidRPr="000512DD" w:rsidRDefault="000512DD" w:rsidP="000512DD">
      <w:pPr>
        <w:rPr>
          <w:rFonts w:ascii="Calibri" w:hAnsi="Calibri"/>
        </w:rPr>
      </w:pPr>
      <w:r w:rsidRPr="000512DD">
        <w:rPr>
          <w:rFonts w:ascii="Calibri" w:hAnsi="Calibri"/>
        </w:rPr>
        <w:t xml:space="preserve">Everyone with a duty of </w:t>
      </w:r>
      <w:r w:rsidR="00983A9A">
        <w:rPr>
          <w:rFonts w:ascii="Calibri" w:hAnsi="Calibri"/>
        </w:rPr>
        <w:t xml:space="preserve">care to an adult at risk should be aware of the procedures to follow in line with the </w:t>
      </w:r>
      <w:r w:rsidR="00AA0B1C">
        <w:rPr>
          <w:rFonts w:ascii="Calibri" w:hAnsi="Calibri"/>
        </w:rPr>
        <w:t xml:space="preserve">Local </w:t>
      </w:r>
      <w:r w:rsidR="00983A9A">
        <w:rPr>
          <w:rFonts w:ascii="Calibri" w:hAnsi="Calibri"/>
        </w:rPr>
        <w:t xml:space="preserve">Dorset, Bournemouth and Poole </w:t>
      </w:r>
      <w:r w:rsidR="00AA0B1C">
        <w:rPr>
          <w:rFonts w:ascii="Calibri" w:hAnsi="Calibri"/>
        </w:rPr>
        <w:t xml:space="preserve">multi agency adult safeguarding policy and </w:t>
      </w:r>
      <w:r w:rsidR="00983A9A">
        <w:rPr>
          <w:rFonts w:ascii="Calibri" w:hAnsi="Calibri"/>
        </w:rPr>
        <w:t xml:space="preserve">procedures: </w:t>
      </w:r>
    </w:p>
    <w:p w14:paraId="461BE055" w14:textId="039C590E" w:rsidR="000512DD" w:rsidRPr="000512DD" w:rsidRDefault="00312772" w:rsidP="00721E74">
      <w:pPr>
        <w:pStyle w:val="ListParagraph"/>
        <w:numPr>
          <w:ilvl w:val="0"/>
          <w:numId w:val="7"/>
        </w:numPr>
        <w:rPr>
          <w:rFonts w:ascii="Calibri" w:hAnsi="Calibri"/>
        </w:rPr>
      </w:pPr>
      <w:r w:rsidRPr="000512DD">
        <w:rPr>
          <w:rFonts w:ascii="Calibri" w:hAnsi="Calibri"/>
        </w:rPr>
        <w:t>Act</w:t>
      </w:r>
      <w:r w:rsidR="000512DD" w:rsidRPr="000512DD">
        <w:rPr>
          <w:rFonts w:ascii="Calibri" w:hAnsi="Calibri"/>
        </w:rPr>
        <w:t xml:space="preserve"> to protect the adult at risk</w:t>
      </w:r>
      <w:r w:rsidR="00561991">
        <w:rPr>
          <w:rFonts w:ascii="Calibri" w:hAnsi="Calibri"/>
        </w:rPr>
        <w:t xml:space="preserve"> of abuse or harm</w:t>
      </w:r>
    </w:p>
    <w:p w14:paraId="3679F119" w14:textId="77777777" w:rsidR="000512DD" w:rsidRPr="000512DD" w:rsidRDefault="00312772" w:rsidP="00721E74">
      <w:pPr>
        <w:pStyle w:val="ListParagraph"/>
        <w:numPr>
          <w:ilvl w:val="0"/>
          <w:numId w:val="7"/>
        </w:numPr>
        <w:rPr>
          <w:rFonts w:ascii="Calibri" w:hAnsi="Calibri"/>
        </w:rPr>
      </w:pPr>
      <w:r w:rsidRPr="000512DD">
        <w:rPr>
          <w:rFonts w:ascii="Calibri" w:hAnsi="Calibri"/>
        </w:rPr>
        <w:t>Deal</w:t>
      </w:r>
      <w:r w:rsidR="000512DD" w:rsidRPr="000512DD">
        <w:rPr>
          <w:rFonts w:ascii="Calibri" w:hAnsi="Calibri"/>
        </w:rPr>
        <w:t xml:space="preserve"> with immediate needs and ensure the person is, as far as possible, central to the decision making process</w:t>
      </w:r>
    </w:p>
    <w:p w14:paraId="7F232C36" w14:textId="2F3B919D" w:rsidR="000512DD" w:rsidRPr="000512DD" w:rsidRDefault="00312772" w:rsidP="00721E74">
      <w:pPr>
        <w:pStyle w:val="ListParagraph"/>
        <w:numPr>
          <w:ilvl w:val="0"/>
          <w:numId w:val="7"/>
        </w:numPr>
        <w:rPr>
          <w:rFonts w:ascii="Calibri" w:hAnsi="Calibri"/>
        </w:rPr>
      </w:pPr>
      <w:r w:rsidRPr="000512DD">
        <w:rPr>
          <w:rFonts w:ascii="Calibri" w:hAnsi="Calibri"/>
        </w:rPr>
        <w:t>Report</w:t>
      </w:r>
      <w:r w:rsidR="000512DD" w:rsidRPr="000512DD">
        <w:rPr>
          <w:rFonts w:ascii="Calibri" w:hAnsi="Calibri"/>
        </w:rPr>
        <w:t xml:space="preserve"> the abuse to an appropriate person or service </w:t>
      </w:r>
      <w:r w:rsidR="00983A9A">
        <w:rPr>
          <w:rFonts w:ascii="Calibri" w:hAnsi="Calibri"/>
        </w:rPr>
        <w:t>(line manager and LA safeguarding – see below)</w:t>
      </w:r>
    </w:p>
    <w:p w14:paraId="0364158C" w14:textId="20112C21" w:rsidR="000512DD" w:rsidRPr="000512DD" w:rsidRDefault="00312772" w:rsidP="00721E74">
      <w:pPr>
        <w:pStyle w:val="ListParagraph"/>
        <w:numPr>
          <w:ilvl w:val="0"/>
          <w:numId w:val="7"/>
        </w:numPr>
        <w:rPr>
          <w:rFonts w:ascii="Calibri" w:hAnsi="Calibri"/>
        </w:rPr>
      </w:pPr>
      <w:r w:rsidRPr="000512DD">
        <w:rPr>
          <w:rFonts w:ascii="Calibri" w:hAnsi="Calibri"/>
        </w:rPr>
        <w:lastRenderedPageBreak/>
        <w:t>If</w:t>
      </w:r>
      <w:r w:rsidR="000512DD" w:rsidRPr="000512DD">
        <w:rPr>
          <w:rFonts w:ascii="Calibri" w:hAnsi="Calibri"/>
        </w:rPr>
        <w:t xml:space="preserve"> a crime has or may have been committed, contact the police to discuss or report it</w:t>
      </w:r>
      <w:r w:rsidR="00561991">
        <w:rPr>
          <w:rFonts w:ascii="Calibri" w:hAnsi="Calibri"/>
        </w:rPr>
        <w:t xml:space="preserve"> and preserve evidence </w:t>
      </w:r>
    </w:p>
    <w:p w14:paraId="30056821" w14:textId="35701AD1" w:rsidR="00983A9A" w:rsidRDefault="00312772" w:rsidP="00FC4121">
      <w:pPr>
        <w:pStyle w:val="ListParagraph"/>
        <w:numPr>
          <w:ilvl w:val="0"/>
          <w:numId w:val="7"/>
        </w:numPr>
        <w:rPr>
          <w:rFonts w:ascii="Calibri" w:hAnsi="Calibri"/>
        </w:rPr>
      </w:pPr>
      <w:r w:rsidRPr="00983A9A">
        <w:rPr>
          <w:rFonts w:ascii="Calibri" w:hAnsi="Calibri"/>
        </w:rPr>
        <w:t>Make</w:t>
      </w:r>
      <w:r w:rsidR="000512DD" w:rsidRPr="00983A9A">
        <w:rPr>
          <w:rFonts w:ascii="Calibri" w:hAnsi="Calibri"/>
        </w:rPr>
        <w:t xml:space="preserve"> a clear record of the events</w:t>
      </w:r>
      <w:r w:rsidR="00983A9A">
        <w:rPr>
          <w:rStyle w:val="FootnoteReference"/>
          <w:rFonts w:ascii="Calibri" w:hAnsi="Calibri"/>
        </w:rPr>
        <w:footnoteReference w:id="3"/>
      </w:r>
      <w:r w:rsidR="000512DD" w:rsidRPr="00983A9A">
        <w:rPr>
          <w:rFonts w:ascii="Calibri" w:hAnsi="Calibri"/>
        </w:rPr>
        <w:t>.</w:t>
      </w:r>
      <w:r w:rsidR="00983A9A">
        <w:rPr>
          <w:rFonts w:ascii="Calibri" w:hAnsi="Calibri"/>
        </w:rPr>
        <w:t xml:space="preserve"> </w:t>
      </w:r>
    </w:p>
    <w:p w14:paraId="2E1169FC" w14:textId="5132C3B6" w:rsidR="000512DD" w:rsidRPr="000512DD" w:rsidRDefault="000512DD" w:rsidP="000512DD">
      <w:pPr>
        <w:rPr>
          <w:rFonts w:ascii="Calibri" w:hAnsi="Calibri"/>
        </w:rPr>
      </w:pPr>
      <w:r w:rsidRPr="000512DD">
        <w:rPr>
          <w:rFonts w:ascii="Calibri" w:hAnsi="Calibri"/>
        </w:rPr>
        <w:t xml:space="preserve">A concern may be a direct disclosure by the adult at risk, or </w:t>
      </w:r>
      <w:r w:rsidR="00561991">
        <w:rPr>
          <w:rFonts w:ascii="Calibri" w:hAnsi="Calibri"/>
        </w:rPr>
        <w:t xml:space="preserve">an indirect </w:t>
      </w:r>
      <w:r w:rsidRPr="000512DD">
        <w:rPr>
          <w:rFonts w:ascii="Calibri" w:hAnsi="Calibri"/>
        </w:rPr>
        <w:t>concern raised by staff</w:t>
      </w:r>
      <w:r w:rsidR="00561991">
        <w:rPr>
          <w:rFonts w:ascii="Calibri" w:hAnsi="Calibri"/>
        </w:rPr>
        <w:t>,</w:t>
      </w:r>
      <w:r w:rsidRPr="000512DD">
        <w:rPr>
          <w:rFonts w:ascii="Calibri" w:hAnsi="Calibri"/>
        </w:rPr>
        <w:t xml:space="preserve"> </w:t>
      </w:r>
      <w:r w:rsidR="00E03EA3" w:rsidRPr="000512DD">
        <w:rPr>
          <w:rFonts w:ascii="Calibri" w:hAnsi="Calibri"/>
        </w:rPr>
        <w:t xml:space="preserve">volunteers, </w:t>
      </w:r>
      <w:proofErr w:type="spellStart"/>
      <w:r w:rsidR="00E03EA3" w:rsidRPr="000512DD">
        <w:rPr>
          <w:rFonts w:ascii="Calibri" w:hAnsi="Calibri"/>
        </w:rPr>
        <w:t>carer’s</w:t>
      </w:r>
      <w:proofErr w:type="spellEnd"/>
      <w:r w:rsidRPr="000512DD">
        <w:rPr>
          <w:rFonts w:ascii="Calibri" w:hAnsi="Calibri"/>
        </w:rPr>
        <w:t xml:space="preserve"> or member of the public</w:t>
      </w:r>
      <w:r w:rsidR="00561991">
        <w:rPr>
          <w:rFonts w:ascii="Calibri" w:hAnsi="Calibri"/>
        </w:rPr>
        <w:t>.</w:t>
      </w:r>
    </w:p>
    <w:p w14:paraId="1477611F" w14:textId="4D115276" w:rsidR="00B51E4E" w:rsidRPr="00983A9A" w:rsidRDefault="000512DD" w:rsidP="00983A9A">
      <w:pPr>
        <w:pStyle w:val="ListParagraph"/>
        <w:numPr>
          <w:ilvl w:val="0"/>
          <w:numId w:val="16"/>
        </w:numPr>
        <w:rPr>
          <w:rFonts w:ascii="Calibri" w:hAnsi="Calibri"/>
        </w:rPr>
      </w:pPr>
      <w:r w:rsidRPr="000512DD">
        <w:rPr>
          <w:rFonts w:ascii="Calibri" w:hAnsi="Calibri"/>
          <w:b/>
          <w:color w:val="099BDD" w:themeColor="text2"/>
        </w:rPr>
        <w:t>How to make a report of suspected abuse</w:t>
      </w:r>
      <w:r w:rsidR="00561991">
        <w:rPr>
          <w:rFonts w:ascii="Calibri" w:hAnsi="Calibri"/>
          <w:b/>
          <w:color w:val="099BDD" w:themeColor="text2"/>
        </w:rPr>
        <w:t xml:space="preserve"> </w:t>
      </w:r>
      <w:r w:rsidR="00B51E4E" w:rsidRPr="00983A9A">
        <w:rPr>
          <w:rFonts w:ascii="Calibri" w:hAnsi="Calibri"/>
        </w:rPr>
        <w:t xml:space="preserve">For the Borough of Poole: Poole Helpdesk: </w:t>
      </w:r>
      <w:proofErr w:type="spellStart"/>
      <w:r w:rsidR="00B51E4E" w:rsidRPr="00983A9A">
        <w:rPr>
          <w:rFonts w:ascii="Calibri" w:hAnsi="Calibri"/>
        </w:rPr>
        <w:t>tel</w:t>
      </w:r>
      <w:proofErr w:type="spellEnd"/>
      <w:r w:rsidR="00B51E4E" w:rsidRPr="00983A9A">
        <w:rPr>
          <w:rFonts w:ascii="Calibri" w:hAnsi="Calibri"/>
        </w:rPr>
        <w:t xml:space="preserve"> 01202 633902, email sshelpdesk@poole.gov.uk</w:t>
      </w:r>
    </w:p>
    <w:p w14:paraId="42D5A52C" w14:textId="77777777" w:rsidR="00B51E4E" w:rsidRPr="00983A9A" w:rsidRDefault="00B51E4E" w:rsidP="00983A9A">
      <w:pPr>
        <w:pStyle w:val="ListParagraph"/>
        <w:numPr>
          <w:ilvl w:val="0"/>
          <w:numId w:val="16"/>
        </w:numPr>
        <w:rPr>
          <w:rFonts w:ascii="Calibri" w:hAnsi="Calibri"/>
        </w:rPr>
      </w:pPr>
      <w:r w:rsidRPr="00983A9A">
        <w:rPr>
          <w:rFonts w:ascii="Calibri" w:hAnsi="Calibri"/>
        </w:rPr>
        <w:t xml:space="preserve">For Dorset County Council Area: Safeguarding Adult Triage Team: </w:t>
      </w:r>
      <w:proofErr w:type="spellStart"/>
      <w:r w:rsidRPr="00983A9A">
        <w:rPr>
          <w:rFonts w:ascii="Calibri" w:hAnsi="Calibri"/>
        </w:rPr>
        <w:t>tel</w:t>
      </w:r>
      <w:proofErr w:type="spellEnd"/>
      <w:r w:rsidRPr="00983A9A">
        <w:rPr>
          <w:rFonts w:ascii="Calibri" w:hAnsi="Calibri"/>
        </w:rPr>
        <w:t xml:space="preserve"> 01929 557712, email </w:t>
      </w:r>
      <w:hyperlink r:id="rId12" w:history="1">
        <w:r w:rsidRPr="00983A9A">
          <w:rPr>
            <w:rStyle w:val="Hyperlink"/>
            <w:rFonts w:ascii="Calibri" w:hAnsi="Calibri"/>
          </w:rPr>
          <w:t>dorsetadultsafeguarding@dorsetcc.gcsx.gov.uk</w:t>
        </w:r>
      </w:hyperlink>
    </w:p>
    <w:p w14:paraId="192E6AB2" w14:textId="77777777" w:rsidR="00B51E4E" w:rsidRPr="00983A9A" w:rsidRDefault="00B51E4E" w:rsidP="00983A9A">
      <w:pPr>
        <w:pStyle w:val="ListParagraph"/>
        <w:numPr>
          <w:ilvl w:val="0"/>
          <w:numId w:val="16"/>
        </w:numPr>
        <w:rPr>
          <w:rFonts w:ascii="Calibri" w:hAnsi="Calibri"/>
        </w:rPr>
      </w:pPr>
      <w:r w:rsidRPr="00983A9A">
        <w:rPr>
          <w:rFonts w:ascii="Calibri" w:hAnsi="Calibri"/>
        </w:rPr>
        <w:t xml:space="preserve">For the Borough of Bournemouth: Bournemouth Care Direct: </w:t>
      </w:r>
      <w:proofErr w:type="spellStart"/>
      <w:r w:rsidRPr="00983A9A">
        <w:rPr>
          <w:rFonts w:ascii="Calibri" w:hAnsi="Calibri"/>
        </w:rPr>
        <w:t>tel</w:t>
      </w:r>
      <w:proofErr w:type="spellEnd"/>
      <w:r w:rsidRPr="00983A9A">
        <w:rPr>
          <w:rFonts w:ascii="Calibri" w:hAnsi="Calibri"/>
        </w:rPr>
        <w:t xml:space="preserve"> 01202 454979, email caredirect@bournemouth.gov.uk</w:t>
      </w:r>
    </w:p>
    <w:p w14:paraId="24BFDCBF" w14:textId="77777777" w:rsidR="00B51E4E" w:rsidRPr="00983A9A" w:rsidRDefault="00B51E4E" w:rsidP="00983A9A">
      <w:pPr>
        <w:pStyle w:val="ListParagraph"/>
        <w:numPr>
          <w:ilvl w:val="0"/>
          <w:numId w:val="16"/>
        </w:numPr>
        <w:rPr>
          <w:rFonts w:ascii="Calibri" w:hAnsi="Calibri"/>
        </w:rPr>
      </w:pPr>
      <w:r w:rsidRPr="00983A9A">
        <w:rPr>
          <w:rFonts w:ascii="Calibri" w:hAnsi="Calibri"/>
        </w:rPr>
        <w:t>Out of Hours Service for all Local Authority areas tel. 01202 657279 Evenings and weekends, including Bank Holidays.</w:t>
      </w:r>
    </w:p>
    <w:p w14:paraId="6F845A0F" w14:textId="77777777" w:rsidR="000512DD" w:rsidRPr="00983A9A" w:rsidRDefault="00B51E4E" w:rsidP="00983A9A">
      <w:pPr>
        <w:pStyle w:val="ListParagraph"/>
        <w:numPr>
          <w:ilvl w:val="0"/>
          <w:numId w:val="16"/>
        </w:numPr>
        <w:rPr>
          <w:rFonts w:ascii="Calibri" w:hAnsi="Calibri"/>
        </w:rPr>
      </w:pPr>
      <w:r w:rsidRPr="00983A9A">
        <w:rPr>
          <w:rFonts w:ascii="Calibri" w:hAnsi="Calibri"/>
        </w:rPr>
        <w:t xml:space="preserve">Or Dorset Police: </w:t>
      </w:r>
      <w:proofErr w:type="spellStart"/>
      <w:r w:rsidRPr="00983A9A">
        <w:rPr>
          <w:rFonts w:ascii="Calibri" w:hAnsi="Calibri"/>
        </w:rPr>
        <w:t>tel</w:t>
      </w:r>
      <w:proofErr w:type="spellEnd"/>
      <w:r w:rsidRPr="00983A9A">
        <w:rPr>
          <w:rFonts w:ascii="Calibri" w:hAnsi="Calibri"/>
        </w:rPr>
        <w:t xml:space="preserve"> 101 or in an emergency call 999. The Police should be contacted only if you believe a criminal offence has been committed or is likely to be so. They should also be contacted as the first port of call if you believe that some was has been significantly harmed or is likely to be in the near future. If you have contacted the police directly, please also notify the relevant authority as listed above. </w:t>
      </w:r>
    </w:p>
    <w:p w14:paraId="437FE703" w14:textId="77777777" w:rsidR="00B51E4E" w:rsidRPr="000512DD" w:rsidRDefault="00B51E4E" w:rsidP="00B51E4E">
      <w:pPr>
        <w:rPr>
          <w:rFonts w:ascii="Calibri" w:hAnsi="Calibri"/>
        </w:rPr>
      </w:pPr>
      <w:r w:rsidRPr="00B51E4E">
        <w:rPr>
          <w:rFonts w:ascii="Calibri" w:hAnsi="Calibri"/>
        </w:rPr>
        <w:t>Do not worry if you contact the wrong authority, they will sign-post you to the correct agency/team. Please have as much information to hand in order to provide sufficient information for the Police and Social Services to make an assessment of risk.</w:t>
      </w:r>
    </w:p>
    <w:p w14:paraId="1CCE37C8" w14:textId="77777777" w:rsidR="000512DD" w:rsidRPr="000512DD" w:rsidRDefault="000512DD" w:rsidP="00B51E4E">
      <w:pPr>
        <w:pStyle w:val="Heading1"/>
      </w:pPr>
      <w:r w:rsidRPr="000512DD">
        <w:t>Consent</w:t>
      </w:r>
    </w:p>
    <w:p w14:paraId="184E9560" w14:textId="0DCA0C7D" w:rsidR="00C34A88" w:rsidRPr="000512DD" w:rsidRDefault="00C34A88" w:rsidP="00C34A88">
      <w:pPr>
        <w:rPr>
          <w:rFonts w:ascii="Calibri" w:hAnsi="Calibri"/>
        </w:rPr>
      </w:pPr>
      <w:r w:rsidRPr="000512DD">
        <w:rPr>
          <w:rFonts w:ascii="Calibri" w:hAnsi="Calibri"/>
        </w:rPr>
        <w:t xml:space="preserve">The Mental Capacity Act </w:t>
      </w:r>
      <w:r w:rsidR="00DF538B">
        <w:rPr>
          <w:rFonts w:ascii="Calibri" w:hAnsi="Calibri"/>
        </w:rPr>
        <w:t>2005</w:t>
      </w:r>
      <w:r w:rsidR="00BE1724">
        <w:rPr>
          <w:rStyle w:val="FootnoteReference"/>
          <w:rFonts w:ascii="Calibri" w:hAnsi="Calibri"/>
        </w:rPr>
        <w:footnoteReference w:id="4"/>
      </w:r>
      <w:r w:rsidRPr="000512DD">
        <w:rPr>
          <w:rFonts w:ascii="Calibri" w:hAnsi="Calibri"/>
        </w:rPr>
        <w:t xml:space="preserve"> </w:t>
      </w:r>
      <w:r w:rsidRPr="00C34A88">
        <w:rPr>
          <w:rFonts w:ascii="Calibri" w:hAnsi="Calibri"/>
        </w:rPr>
        <w:t>is designed to protect and empower individuals who may lack the mental capacity to make their own decisions about their care and treatment. It is a law that applies to individuals aged 16 and over</w:t>
      </w:r>
      <w:r w:rsidRPr="000512DD">
        <w:rPr>
          <w:rFonts w:ascii="Calibri" w:hAnsi="Calibri"/>
        </w:rPr>
        <w:t>provides a statutory framework to empower and protect people who are not able to make their own decisions and is underpinned by five key principles:</w:t>
      </w:r>
    </w:p>
    <w:p w14:paraId="19C530E9" w14:textId="77777777" w:rsidR="00C34A88" w:rsidRPr="00721E74" w:rsidRDefault="00C34A88" w:rsidP="00C34A88">
      <w:pPr>
        <w:pStyle w:val="ListParagraph"/>
        <w:numPr>
          <w:ilvl w:val="0"/>
          <w:numId w:val="8"/>
        </w:numPr>
        <w:rPr>
          <w:rFonts w:ascii="Calibri" w:hAnsi="Calibri"/>
        </w:rPr>
      </w:pPr>
      <w:r w:rsidRPr="00721E74">
        <w:rPr>
          <w:rFonts w:ascii="Calibri" w:hAnsi="Calibri"/>
        </w:rPr>
        <w:t>A presumption of capacity - every adult has the right to make his or her own decisions and must be assumed to have capacity to do so unless it is proved otherwise.</w:t>
      </w:r>
    </w:p>
    <w:p w14:paraId="3CF2147D" w14:textId="77777777" w:rsidR="00C34A88" w:rsidRPr="00721E74" w:rsidRDefault="00C34A88" w:rsidP="00C34A88">
      <w:pPr>
        <w:pStyle w:val="ListParagraph"/>
        <w:numPr>
          <w:ilvl w:val="0"/>
          <w:numId w:val="8"/>
        </w:numPr>
        <w:rPr>
          <w:rFonts w:ascii="Calibri" w:hAnsi="Calibri"/>
        </w:rPr>
      </w:pPr>
      <w:r w:rsidRPr="00721E74">
        <w:rPr>
          <w:rFonts w:ascii="Calibri" w:hAnsi="Calibri"/>
        </w:rPr>
        <w:t>The right for individuals to be supported to make their own decisions - people must be given all appropriate help before anyone concludes that they cannot make their own decisions.</w:t>
      </w:r>
    </w:p>
    <w:p w14:paraId="2E08E1F1" w14:textId="77777777" w:rsidR="00C34A88" w:rsidRPr="00721E74" w:rsidRDefault="00C34A88" w:rsidP="00C34A88">
      <w:pPr>
        <w:pStyle w:val="ListParagraph"/>
        <w:numPr>
          <w:ilvl w:val="0"/>
          <w:numId w:val="8"/>
        </w:numPr>
        <w:rPr>
          <w:rFonts w:ascii="Calibri" w:hAnsi="Calibri"/>
        </w:rPr>
      </w:pPr>
      <w:r w:rsidRPr="00721E74">
        <w:rPr>
          <w:rFonts w:ascii="Calibri" w:hAnsi="Calibri"/>
        </w:rPr>
        <w:t>Individuals must retain the right to make what might be seen as eccentric or unwise decisions.</w:t>
      </w:r>
    </w:p>
    <w:p w14:paraId="25D0AEEC" w14:textId="77777777" w:rsidR="00C34A88" w:rsidRPr="00721E74" w:rsidRDefault="00C34A88" w:rsidP="00C34A88">
      <w:pPr>
        <w:pStyle w:val="ListParagraph"/>
        <w:numPr>
          <w:ilvl w:val="0"/>
          <w:numId w:val="8"/>
        </w:numPr>
        <w:rPr>
          <w:rFonts w:ascii="Calibri" w:hAnsi="Calibri"/>
        </w:rPr>
      </w:pPr>
      <w:r w:rsidRPr="00721E74">
        <w:rPr>
          <w:rFonts w:ascii="Calibri" w:hAnsi="Calibri"/>
        </w:rPr>
        <w:t>Best interests – anything done for or on behalf of people without capacity must be in their best interests.</w:t>
      </w:r>
    </w:p>
    <w:p w14:paraId="51D35B71" w14:textId="77777777" w:rsidR="00C34A88" w:rsidRPr="00721E74" w:rsidRDefault="00C34A88" w:rsidP="00C34A88">
      <w:pPr>
        <w:pStyle w:val="ListParagraph"/>
        <w:numPr>
          <w:ilvl w:val="0"/>
          <w:numId w:val="8"/>
        </w:numPr>
        <w:rPr>
          <w:rFonts w:ascii="Calibri" w:hAnsi="Calibri"/>
        </w:rPr>
      </w:pPr>
      <w:r w:rsidRPr="00721E74">
        <w:rPr>
          <w:rFonts w:ascii="Calibri" w:hAnsi="Calibri"/>
        </w:rPr>
        <w:t>Least restrictive intervention - anything done for or on behalf of people without capacity should be the least restrictive of their basic rights and freedoms.</w:t>
      </w:r>
    </w:p>
    <w:p w14:paraId="3467D15F" w14:textId="77777777" w:rsidR="00C34A88" w:rsidRPr="000512DD" w:rsidRDefault="00C34A88" w:rsidP="00C34A88">
      <w:pPr>
        <w:rPr>
          <w:rFonts w:ascii="Calibri" w:hAnsi="Calibri"/>
        </w:rPr>
      </w:pPr>
      <w:r w:rsidRPr="000512DD">
        <w:rPr>
          <w:rFonts w:ascii="Calibri" w:hAnsi="Calibri"/>
        </w:rPr>
        <w:t xml:space="preserve">The Act sets out a single clear test for assessing whether a person lacks capacity to take a particular decision at a particular time. It is a “decision specific” test. No one can be labelled “incapable” as a result of a particular medical condition or diagnosis. The Act makes it clear that a lack of capacity cannot be </w:t>
      </w:r>
      <w:r w:rsidRPr="000512DD">
        <w:rPr>
          <w:rFonts w:ascii="Calibri" w:hAnsi="Calibri"/>
        </w:rPr>
        <w:lastRenderedPageBreak/>
        <w:t xml:space="preserve">established merely by reference to a person’s age, appearance, or any other condition or aspect of a person’s </w:t>
      </w:r>
      <w:proofErr w:type="spellStart"/>
      <w:r w:rsidRPr="000512DD">
        <w:rPr>
          <w:rFonts w:ascii="Calibri" w:hAnsi="Calibri"/>
        </w:rPr>
        <w:t>behaviour</w:t>
      </w:r>
      <w:proofErr w:type="spellEnd"/>
      <w:r w:rsidRPr="000512DD">
        <w:rPr>
          <w:rFonts w:ascii="Calibri" w:hAnsi="Calibri"/>
        </w:rPr>
        <w:t xml:space="preserve"> which might lead others to make unjustified assumptions about capacity.</w:t>
      </w:r>
    </w:p>
    <w:p w14:paraId="2425BFA4" w14:textId="121AFA0E" w:rsidR="00561991" w:rsidRDefault="00561991" w:rsidP="00C34A88">
      <w:pPr>
        <w:rPr>
          <w:rFonts w:ascii="Calibri" w:hAnsi="Calibri"/>
        </w:rPr>
      </w:pPr>
      <w:r>
        <w:rPr>
          <w:rFonts w:ascii="Calibri" w:hAnsi="Calibri"/>
        </w:rPr>
        <w:t xml:space="preserve">Anyone assessing </w:t>
      </w:r>
      <w:r w:rsidR="00E03EA3">
        <w:rPr>
          <w:rFonts w:ascii="Calibri" w:hAnsi="Calibri"/>
        </w:rPr>
        <w:t>someone’s</w:t>
      </w:r>
      <w:r>
        <w:rPr>
          <w:rFonts w:ascii="Calibri" w:hAnsi="Calibri"/>
        </w:rPr>
        <w:t xml:space="preserve"> capacity to make a decision for themselves should use the </w:t>
      </w:r>
      <w:r w:rsidR="00E03EA3">
        <w:rPr>
          <w:rFonts w:ascii="Calibri" w:hAnsi="Calibri"/>
        </w:rPr>
        <w:t>two-stage</w:t>
      </w:r>
      <w:r>
        <w:rPr>
          <w:rFonts w:ascii="Calibri" w:hAnsi="Calibri"/>
        </w:rPr>
        <w:t xml:space="preserve"> capacity test</w:t>
      </w:r>
      <w:r w:rsidR="00E03EA3">
        <w:rPr>
          <w:rFonts w:ascii="Calibri" w:hAnsi="Calibri"/>
        </w:rPr>
        <w:t xml:space="preserve">: </w:t>
      </w:r>
    </w:p>
    <w:p w14:paraId="14A65BF0" w14:textId="62ED52D4" w:rsidR="00561991" w:rsidRPr="00E03EA3" w:rsidRDefault="00561991" w:rsidP="00E03EA3">
      <w:pPr>
        <w:pStyle w:val="ListParagraph"/>
        <w:numPr>
          <w:ilvl w:val="0"/>
          <w:numId w:val="19"/>
        </w:numPr>
        <w:rPr>
          <w:rFonts w:ascii="Calibri" w:hAnsi="Calibri"/>
        </w:rPr>
      </w:pPr>
      <w:r w:rsidRPr="00E03EA3">
        <w:rPr>
          <w:rFonts w:ascii="Calibri" w:hAnsi="Calibri"/>
        </w:rPr>
        <w:t xml:space="preserve">Does the person have a </w:t>
      </w:r>
      <w:r w:rsidR="00E03EA3" w:rsidRPr="00E03EA3">
        <w:rPr>
          <w:rFonts w:ascii="Calibri" w:hAnsi="Calibri"/>
        </w:rPr>
        <w:t>dysfunction</w:t>
      </w:r>
      <w:r w:rsidRPr="00E03EA3">
        <w:rPr>
          <w:rFonts w:ascii="Calibri" w:hAnsi="Calibri"/>
        </w:rPr>
        <w:t xml:space="preserve"> or impairment of the brain or mind, or is there some sort of disturbance that is affecting their ability to make a </w:t>
      </w:r>
      <w:r w:rsidR="00DF538B" w:rsidRPr="00E03EA3">
        <w:rPr>
          <w:rFonts w:ascii="Calibri" w:hAnsi="Calibri"/>
        </w:rPr>
        <w:t>decision (</w:t>
      </w:r>
      <w:r w:rsidRPr="00E03EA3">
        <w:rPr>
          <w:rFonts w:ascii="Calibri" w:hAnsi="Calibri"/>
        </w:rPr>
        <w:t xml:space="preserve">it does not matter if the impairment is </w:t>
      </w:r>
      <w:r w:rsidR="00E03EA3" w:rsidRPr="00E03EA3">
        <w:rPr>
          <w:rFonts w:ascii="Calibri" w:hAnsi="Calibri"/>
        </w:rPr>
        <w:t>temporary</w:t>
      </w:r>
      <w:r w:rsidRPr="00E03EA3">
        <w:rPr>
          <w:rFonts w:ascii="Calibri" w:hAnsi="Calibri"/>
        </w:rPr>
        <w:t xml:space="preserve"> or </w:t>
      </w:r>
      <w:r w:rsidR="00E03EA3" w:rsidRPr="00E03EA3">
        <w:rPr>
          <w:rFonts w:ascii="Calibri" w:hAnsi="Calibri"/>
        </w:rPr>
        <w:t>permanent</w:t>
      </w:r>
      <w:r w:rsidRPr="00E03EA3">
        <w:rPr>
          <w:rFonts w:ascii="Calibri" w:hAnsi="Calibri"/>
        </w:rPr>
        <w:t>)</w:t>
      </w:r>
      <w:r w:rsidR="00E03EA3" w:rsidRPr="00E03EA3">
        <w:rPr>
          <w:rFonts w:ascii="Calibri" w:hAnsi="Calibri"/>
        </w:rPr>
        <w:t xml:space="preserve">. </w:t>
      </w:r>
      <w:r w:rsidRPr="00E03EA3">
        <w:rPr>
          <w:rFonts w:ascii="Calibri" w:hAnsi="Calibri"/>
        </w:rPr>
        <w:t xml:space="preserve"> If so, does that </w:t>
      </w:r>
      <w:r w:rsidR="00E03EA3" w:rsidRPr="00E03EA3">
        <w:rPr>
          <w:rFonts w:ascii="Calibri" w:hAnsi="Calibri"/>
        </w:rPr>
        <w:t>dysfunction</w:t>
      </w:r>
      <w:r w:rsidRPr="00E03EA3">
        <w:rPr>
          <w:rFonts w:ascii="Calibri" w:hAnsi="Calibri"/>
        </w:rPr>
        <w:t xml:space="preserve"> or impairment </w:t>
      </w:r>
      <w:r w:rsidR="00D41DD9" w:rsidRPr="00E03EA3">
        <w:rPr>
          <w:rFonts w:ascii="Calibri" w:hAnsi="Calibri"/>
        </w:rPr>
        <w:t>mean the person is unable to make the decision in question at the time it needs to be made?</w:t>
      </w:r>
    </w:p>
    <w:p w14:paraId="44DA7522" w14:textId="65361783" w:rsidR="00D41DD9" w:rsidRPr="00E03EA3" w:rsidRDefault="00E03EA3" w:rsidP="00E03EA3">
      <w:pPr>
        <w:pStyle w:val="ListParagraph"/>
        <w:numPr>
          <w:ilvl w:val="0"/>
          <w:numId w:val="19"/>
        </w:numPr>
        <w:rPr>
          <w:rFonts w:ascii="Calibri" w:hAnsi="Calibri"/>
        </w:rPr>
      </w:pPr>
      <w:r w:rsidRPr="00E03EA3">
        <w:rPr>
          <w:rFonts w:ascii="Calibri" w:hAnsi="Calibri"/>
        </w:rPr>
        <w:t>I</w:t>
      </w:r>
      <w:r w:rsidR="00D41DD9" w:rsidRPr="00E03EA3">
        <w:rPr>
          <w:rFonts w:ascii="Calibri" w:hAnsi="Calibri"/>
        </w:rPr>
        <w:t xml:space="preserve">f the individual has an impairment or </w:t>
      </w:r>
      <w:r w:rsidR="00DF538B" w:rsidRPr="00E03EA3">
        <w:rPr>
          <w:rFonts w:ascii="Calibri" w:hAnsi="Calibri"/>
        </w:rPr>
        <w:t>dysfunction</w:t>
      </w:r>
      <w:r w:rsidR="00D41DD9" w:rsidRPr="00E03EA3">
        <w:rPr>
          <w:rFonts w:ascii="Calibri" w:hAnsi="Calibri"/>
        </w:rPr>
        <w:t xml:space="preserve"> of the brain or mind, are they able to</w:t>
      </w:r>
      <w:r w:rsidR="00EB47CD">
        <w:rPr>
          <w:rFonts w:ascii="Calibri" w:hAnsi="Calibri"/>
        </w:rPr>
        <w:t xml:space="preserve">: </w:t>
      </w:r>
    </w:p>
    <w:p w14:paraId="7EDB5169" w14:textId="77777777" w:rsidR="00C34A88" w:rsidRPr="00721E74" w:rsidRDefault="00C34A88" w:rsidP="00C34A88">
      <w:pPr>
        <w:pStyle w:val="ListParagraph"/>
        <w:numPr>
          <w:ilvl w:val="0"/>
          <w:numId w:val="9"/>
        </w:numPr>
        <w:rPr>
          <w:rFonts w:ascii="Calibri" w:hAnsi="Calibri"/>
        </w:rPr>
      </w:pPr>
      <w:r w:rsidRPr="00721E74">
        <w:rPr>
          <w:rFonts w:ascii="Calibri" w:hAnsi="Calibri"/>
        </w:rPr>
        <w:t>Understand the information relevant to make the decision.</w:t>
      </w:r>
    </w:p>
    <w:p w14:paraId="3ECF1ABC" w14:textId="77777777" w:rsidR="00C34A88" w:rsidRPr="00721E74" w:rsidRDefault="00C34A88" w:rsidP="00C34A88">
      <w:pPr>
        <w:pStyle w:val="ListParagraph"/>
        <w:numPr>
          <w:ilvl w:val="0"/>
          <w:numId w:val="9"/>
        </w:numPr>
        <w:rPr>
          <w:rFonts w:ascii="Calibri" w:hAnsi="Calibri"/>
        </w:rPr>
      </w:pPr>
      <w:r w:rsidRPr="00721E74">
        <w:rPr>
          <w:rFonts w:ascii="Calibri" w:hAnsi="Calibri"/>
        </w:rPr>
        <w:t>Retain the information.</w:t>
      </w:r>
    </w:p>
    <w:p w14:paraId="2A418639" w14:textId="77777777" w:rsidR="00C34A88" w:rsidRPr="00EB47CD" w:rsidRDefault="00C34A88" w:rsidP="00C34A88">
      <w:pPr>
        <w:pStyle w:val="ListParagraph"/>
        <w:numPr>
          <w:ilvl w:val="0"/>
          <w:numId w:val="9"/>
        </w:numPr>
        <w:rPr>
          <w:rFonts w:ascii="Calibri" w:hAnsi="Calibri"/>
        </w:rPr>
      </w:pPr>
      <w:r w:rsidRPr="00EB47CD">
        <w:rPr>
          <w:rFonts w:ascii="Calibri" w:hAnsi="Calibri"/>
        </w:rPr>
        <w:t>Use or weigh that information as part of the process of making the decision.</w:t>
      </w:r>
    </w:p>
    <w:p w14:paraId="51787439" w14:textId="77777777" w:rsidR="00EB47CD" w:rsidRPr="00EB47CD" w:rsidRDefault="00C34A88" w:rsidP="006814F2">
      <w:pPr>
        <w:pStyle w:val="ListParagraph"/>
        <w:numPr>
          <w:ilvl w:val="0"/>
          <w:numId w:val="9"/>
        </w:numPr>
        <w:rPr>
          <w:rFonts w:ascii="Calibri" w:hAnsi="Calibri"/>
          <w:b/>
        </w:rPr>
      </w:pPr>
      <w:r w:rsidRPr="00EB47CD">
        <w:rPr>
          <w:rFonts w:ascii="Calibri" w:hAnsi="Calibri"/>
        </w:rPr>
        <w:t xml:space="preserve">Communicate their decision, whether by talking, using sign language or any other means </w:t>
      </w:r>
    </w:p>
    <w:p w14:paraId="2E3EB765" w14:textId="148E1116" w:rsidR="000512DD" w:rsidRPr="00EB47CD" w:rsidRDefault="000512DD" w:rsidP="00EB47CD">
      <w:pPr>
        <w:rPr>
          <w:rFonts w:ascii="Calibri" w:hAnsi="Calibri"/>
          <w:b/>
          <w:color w:val="099BDD" w:themeColor="text2"/>
        </w:rPr>
      </w:pPr>
      <w:r w:rsidRPr="00EB47CD">
        <w:rPr>
          <w:rFonts w:ascii="Calibri" w:hAnsi="Calibri"/>
          <w:b/>
          <w:color w:val="099BDD" w:themeColor="text2"/>
        </w:rPr>
        <w:t>Capacity and consent, and the sharing of information</w:t>
      </w:r>
    </w:p>
    <w:p w14:paraId="370E58F6" w14:textId="6CD9769A" w:rsidR="000512DD" w:rsidRPr="000512DD" w:rsidRDefault="000512DD" w:rsidP="000512DD">
      <w:pPr>
        <w:rPr>
          <w:rFonts w:ascii="Calibri" w:hAnsi="Calibri"/>
        </w:rPr>
      </w:pPr>
      <w:r w:rsidRPr="000512DD">
        <w:rPr>
          <w:rFonts w:ascii="Calibri" w:hAnsi="Calibri"/>
        </w:rPr>
        <w:t>Patients have a fundamental legal and ethical right to determine what happens to their own bodies. Valid consent to treatment is therefore absolutely central in all forms of healthcare, from providing personal care to undertaking major surgery, including decisions around the sharing of information. Consent must be documented in patient notes</w:t>
      </w:r>
      <w:r w:rsidR="00983A9A">
        <w:rPr>
          <w:rFonts w:ascii="Calibri" w:hAnsi="Calibri"/>
        </w:rPr>
        <w:t xml:space="preserve"> </w:t>
      </w:r>
      <w:r w:rsidR="00983A9A">
        <w:rPr>
          <w:rStyle w:val="FootnoteReference"/>
          <w:rFonts w:ascii="Calibri" w:hAnsi="Calibri"/>
        </w:rPr>
        <w:footnoteReference w:id="5"/>
      </w:r>
    </w:p>
    <w:p w14:paraId="3C77A2D8" w14:textId="77777777" w:rsidR="000512DD" w:rsidRPr="00721E74" w:rsidRDefault="000512DD" w:rsidP="000512DD">
      <w:pPr>
        <w:rPr>
          <w:rFonts w:ascii="Calibri" w:hAnsi="Calibri"/>
          <w:b/>
          <w:color w:val="099BDD" w:themeColor="text2"/>
        </w:rPr>
      </w:pPr>
      <w:r w:rsidRPr="00721E74">
        <w:rPr>
          <w:rFonts w:ascii="Calibri" w:hAnsi="Calibri"/>
          <w:b/>
          <w:color w:val="099BDD" w:themeColor="text2"/>
        </w:rPr>
        <w:t>Consent to refuse support/intervention</w:t>
      </w:r>
    </w:p>
    <w:p w14:paraId="54AF0B43" w14:textId="77777777" w:rsidR="000512DD" w:rsidRPr="000512DD" w:rsidRDefault="000512DD" w:rsidP="000512DD">
      <w:pPr>
        <w:rPr>
          <w:rFonts w:ascii="Calibri" w:hAnsi="Calibri"/>
        </w:rPr>
      </w:pPr>
      <w:r w:rsidRPr="000512DD">
        <w:rPr>
          <w:rFonts w:ascii="Calibri" w:hAnsi="Calibri"/>
        </w:rPr>
        <w:t xml:space="preserve">Some adults </w:t>
      </w:r>
      <w:r w:rsidR="00662F95">
        <w:rPr>
          <w:rFonts w:ascii="Calibri" w:hAnsi="Calibri"/>
        </w:rPr>
        <w:t xml:space="preserve">at risk </w:t>
      </w:r>
      <w:r w:rsidRPr="000512DD">
        <w:rPr>
          <w:rFonts w:ascii="Calibri" w:hAnsi="Calibri"/>
        </w:rPr>
        <w:t xml:space="preserve">may refuse intervention and support from </w:t>
      </w:r>
      <w:r w:rsidR="00312772" w:rsidRPr="000512DD">
        <w:rPr>
          <w:rFonts w:ascii="Calibri" w:hAnsi="Calibri"/>
        </w:rPr>
        <w:t>professionals;</w:t>
      </w:r>
      <w:r w:rsidRPr="000512DD">
        <w:rPr>
          <w:rFonts w:ascii="Calibri" w:hAnsi="Calibri"/>
        </w:rPr>
        <w:t xml:space="preserve"> one of the starting points is to understand whether the patient has the mental capacity to make the particular d</w:t>
      </w:r>
      <w:r w:rsidR="00721E74">
        <w:rPr>
          <w:rFonts w:ascii="Calibri" w:hAnsi="Calibri"/>
        </w:rPr>
        <w:t>ecision at that time.</w:t>
      </w:r>
    </w:p>
    <w:p w14:paraId="5A4FFE87" w14:textId="77777777" w:rsidR="000512DD" w:rsidRPr="00721E74" w:rsidRDefault="000512DD" w:rsidP="000512DD">
      <w:pPr>
        <w:rPr>
          <w:rFonts w:ascii="Calibri" w:hAnsi="Calibri"/>
          <w:b/>
          <w:color w:val="099BDD" w:themeColor="text2"/>
        </w:rPr>
      </w:pPr>
      <w:r w:rsidRPr="00721E74">
        <w:rPr>
          <w:rFonts w:ascii="Calibri" w:hAnsi="Calibri"/>
          <w:b/>
          <w:color w:val="099BDD" w:themeColor="text2"/>
        </w:rPr>
        <w:t xml:space="preserve">Situations where the </w:t>
      </w:r>
      <w:r w:rsidR="00AE659A">
        <w:rPr>
          <w:rFonts w:ascii="Calibri" w:hAnsi="Calibri"/>
          <w:b/>
          <w:color w:val="099BDD" w:themeColor="text2"/>
        </w:rPr>
        <w:t xml:space="preserve">adult at risk </w:t>
      </w:r>
      <w:r w:rsidRPr="00721E74">
        <w:rPr>
          <w:rFonts w:ascii="Calibri" w:hAnsi="Calibri"/>
          <w:b/>
          <w:color w:val="099BDD" w:themeColor="text2"/>
        </w:rPr>
        <w:t>does have capacity</w:t>
      </w:r>
    </w:p>
    <w:p w14:paraId="49E45E2E" w14:textId="77777777" w:rsidR="000512DD" w:rsidRPr="000512DD" w:rsidRDefault="000512DD" w:rsidP="000512DD">
      <w:pPr>
        <w:rPr>
          <w:rFonts w:ascii="Calibri" w:hAnsi="Calibri"/>
        </w:rPr>
      </w:pPr>
      <w:r w:rsidRPr="000512DD">
        <w:rPr>
          <w:rFonts w:ascii="Calibri" w:hAnsi="Calibri"/>
        </w:rPr>
        <w:t xml:space="preserve">If it is decided that a person does have capacity and has taken an informed choice to live in a situation that puts them at risk, then the person, their </w:t>
      </w:r>
      <w:proofErr w:type="spellStart"/>
      <w:r w:rsidRPr="000512DD">
        <w:rPr>
          <w:rFonts w:ascii="Calibri" w:hAnsi="Calibri"/>
        </w:rPr>
        <w:t>carer</w:t>
      </w:r>
      <w:proofErr w:type="spellEnd"/>
      <w:r w:rsidRPr="000512DD">
        <w:rPr>
          <w:rFonts w:ascii="Calibri" w:hAnsi="Calibri"/>
        </w:rPr>
        <w:t xml:space="preserve">, their community support and any other relevant agency or individual should be consulted in order to ensure </w:t>
      </w:r>
      <w:r w:rsidR="00312772" w:rsidRPr="000512DD">
        <w:rPr>
          <w:rFonts w:ascii="Calibri" w:hAnsi="Calibri"/>
        </w:rPr>
        <w:t>that the</w:t>
      </w:r>
      <w:r w:rsidRPr="000512DD">
        <w:rPr>
          <w:rFonts w:ascii="Calibri" w:hAnsi="Calibri"/>
        </w:rPr>
        <w:t xml:space="preserve"> person is offered all possible choices. He or she may still choose to stay in the sit</w:t>
      </w:r>
      <w:r w:rsidR="00721E74">
        <w:rPr>
          <w:rFonts w:ascii="Calibri" w:hAnsi="Calibri"/>
        </w:rPr>
        <w:t>uation and live with that risk.</w:t>
      </w:r>
    </w:p>
    <w:p w14:paraId="58FDDC15" w14:textId="40F134E2" w:rsidR="000512DD" w:rsidRDefault="00DF538B" w:rsidP="000512DD">
      <w:pPr>
        <w:rPr>
          <w:rFonts w:ascii="Calibri" w:hAnsi="Calibri"/>
        </w:rPr>
      </w:pPr>
      <w:r>
        <w:rPr>
          <w:rFonts w:ascii="Calibri" w:hAnsi="Calibri"/>
        </w:rPr>
        <w:t xml:space="preserve">Consideration by all involved in the adult’s situation </w:t>
      </w:r>
      <w:r w:rsidR="000512DD" w:rsidRPr="000512DD">
        <w:rPr>
          <w:rFonts w:ascii="Calibri" w:hAnsi="Calibri"/>
        </w:rPr>
        <w:t>will need to determine whether the adult</w:t>
      </w:r>
      <w:r w:rsidR="00AE659A">
        <w:rPr>
          <w:rFonts w:ascii="Calibri" w:hAnsi="Calibri"/>
        </w:rPr>
        <w:t xml:space="preserve"> at risk</w:t>
      </w:r>
      <w:r w:rsidR="000512DD" w:rsidRPr="000512DD">
        <w:rPr>
          <w:rFonts w:ascii="Calibri" w:hAnsi="Calibri"/>
        </w:rPr>
        <w:t xml:space="preserve"> is making the decision of their own free will or whether they are being subjected to coercion or intimidation. If it is believed that the adult </w:t>
      </w:r>
      <w:r w:rsidR="00AE659A">
        <w:rPr>
          <w:rFonts w:ascii="Calibri" w:hAnsi="Calibri"/>
        </w:rPr>
        <w:t xml:space="preserve">at risk </w:t>
      </w:r>
      <w:r w:rsidR="000512DD" w:rsidRPr="000512DD">
        <w:rPr>
          <w:rFonts w:ascii="Calibri" w:hAnsi="Calibri"/>
        </w:rPr>
        <w:t>is exposed to intimidation or coercion, efforts should be made to offer the adult ‘distance’ from the situation in order</w:t>
      </w:r>
      <w:r w:rsidR="00721E74">
        <w:rPr>
          <w:rFonts w:ascii="Calibri" w:hAnsi="Calibri"/>
        </w:rPr>
        <w:t xml:space="preserve"> to facilitate decision making</w:t>
      </w:r>
      <w:r w:rsidR="00D711B4">
        <w:rPr>
          <w:rFonts w:ascii="Calibri" w:hAnsi="Calibri"/>
        </w:rPr>
        <w:t xml:space="preserve">. </w:t>
      </w:r>
    </w:p>
    <w:p w14:paraId="2D79CB58" w14:textId="77777777" w:rsidR="00C34A88" w:rsidRPr="00AC6F43" w:rsidRDefault="00C34A88" w:rsidP="00411E30">
      <w:pPr>
        <w:pStyle w:val="ListParagraph"/>
        <w:ind w:left="1080"/>
        <w:rPr>
          <w:rFonts w:ascii="Calibri" w:hAnsi="Calibri"/>
        </w:rPr>
      </w:pPr>
    </w:p>
    <w:p w14:paraId="5D4B3F87" w14:textId="77777777" w:rsidR="000512DD" w:rsidRPr="00721E74" w:rsidRDefault="000512DD" w:rsidP="00721E74">
      <w:pPr>
        <w:pStyle w:val="Heading1"/>
      </w:pPr>
      <w:r w:rsidRPr="000512DD">
        <w:t>Training</w:t>
      </w:r>
      <w:r w:rsidRPr="000512DD">
        <w:tab/>
      </w:r>
    </w:p>
    <w:p w14:paraId="4A567B08" w14:textId="77777777" w:rsidR="004F7182" w:rsidRDefault="00721E74" w:rsidP="000512DD">
      <w:pPr>
        <w:rPr>
          <w:rFonts w:ascii="Calibri" w:hAnsi="Calibri"/>
          <w:color w:val="2C2C2C" w:themeColor="text1"/>
        </w:rPr>
      </w:pPr>
      <w:r>
        <w:rPr>
          <w:rFonts w:ascii="Calibri" w:hAnsi="Calibri"/>
        </w:rPr>
        <w:t xml:space="preserve">Castleman Healthcare Ltd is </w:t>
      </w:r>
      <w:r w:rsidR="000512DD" w:rsidRPr="000512DD">
        <w:rPr>
          <w:rFonts w:ascii="Calibri" w:hAnsi="Calibri"/>
        </w:rPr>
        <w:t>responsible for e</w:t>
      </w:r>
      <w:r w:rsidR="00984CDB">
        <w:rPr>
          <w:rFonts w:ascii="Calibri" w:hAnsi="Calibri"/>
        </w:rPr>
        <w:t>nsuring all their staff receive</w:t>
      </w:r>
      <w:r w:rsidR="00984CDB">
        <w:rPr>
          <w:rFonts w:ascii="Calibri" w:hAnsi="Calibri"/>
          <w:color w:val="FF0000"/>
        </w:rPr>
        <w:t xml:space="preserve"> </w:t>
      </w:r>
      <w:r w:rsidR="00984CDB" w:rsidRPr="004F7182">
        <w:rPr>
          <w:rFonts w:ascii="Calibri" w:hAnsi="Calibri"/>
          <w:color w:val="2C2C2C" w:themeColor="text1"/>
        </w:rPr>
        <w:t xml:space="preserve">Safeguarding training </w:t>
      </w:r>
      <w:r w:rsidR="004F7182" w:rsidRPr="004F7182">
        <w:rPr>
          <w:rFonts w:ascii="Calibri" w:hAnsi="Calibri"/>
          <w:color w:val="2C2C2C" w:themeColor="text1"/>
        </w:rPr>
        <w:t>covering children</w:t>
      </w:r>
      <w:r w:rsidR="00984CDB" w:rsidRPr="004F7182">
        <w:rPr>
          <w:rFonts w:ascii="Calibri" w:hAnsi="Calibri"/>
          <w:color w:val="2C2C2C" w:themeColor="text1"/>
        </w:rPr>
        <w:t xml:space="preserve"> and vulnerable adults commensurate with the role that they are employed to do.  </w:t>
      </w:r>
    </w:p>
    <w:p w14:paraId="28380462" w14:textId="77777777" w:rsidR="004F7182" w:rsidRDefault="00984CDB" w:rsidP="000512DD">
      <w:pPr>
        <w:rPr>
          <w:rFonts w:ascii="Calibri" w:hAnsi="Calibri"/>
          <w:color w:val="2C2C2C" w:themeColor="text1"/>
        </w:rPr>
      </w:pPr>
      <w:r w:rsidRPr="004F7182">
        <w:rPr>
          <w:rFonts w:ascii="Calibri" w:hAnsi="Calibri"/>
          <w:color w:val="2C2C2C" w:themeColor="text1"/>
        </w:rPr>
        <w:lastRenderedPageBreak/>
        <w:t xml:space="preserve">Risk assessment will be undertaken </w:t>
      </w:r>
      <w:r w:rsidR="00D15A29" w:rsidRPr="004F7182">
        <w:rPr>
          <w:rFonts w:ascii="Calibri" w:hAnsi="Calibri"/>
          <w:color w:val="2C2C2C" w:themeColor="text1"/>
        </w:rPr>
        <w:t xml:space="preserve">annually </w:t>
      </w:r>
      <w:r w:rsidRPr="004F7182">
        <w:rPr>
          <w:rFonts w:ascii="Calibri" w:hAnsi="Calibri"/>
          <w:color w:val="2C2C2C" w:themeColor="text1"/>
        </w:rPr>
        <w:t>to assess the level of training required for roles</w:t>
      </w:r>
      <w:r w:rsidR="00D15A29" w:rsidRPr="004F7182">
        <w:rPr>
          <w:rFonts w:ascii="Calibri" w:hAnsi="Calibri"/>
          <w:color w:val="2C2C2C" w:themeColor="text1"/>
        </w:rPr>
        <w:t>/staff</w:t>
      </w:r>
      <w:r w:rsidRPr="004F7182">
        <w:rPr>
          <w:rFonts w:ascii="Calibri" w:hAnsi="Calibri"/>
          <w:color w:val="2C2C2C" w:themeColor="text1"/>
        </w:rPr>
        <w:t xml:space="preserve"> as they become available.   </w:t>
      </w:r>
    </w:p>
    <w:p w14:paraId="48324407" w14:textId="443CA4F9" w:rsidR="004F7182" w:rsidRDefault="00984CDB" w:rsidP="000512DD">
      <w:pPr>
        <w:rPr>
          <w:rFonts w:ascii="Calibri" w:hAnsi="Calibri"/>
          <w:color w:val="2C2C2C" w:themeColor="text1"/>
        </w:rPr>
      </w:pPr>
      <w:r w:rsidRPr="004F7182">
        <w:rPr>
          <w:rFonts w:ascii="Calibri" w:hAnsi="Calibri"/>
          <w:color w:val="2C2C2C" w:themeColor="text1"/>
        </w:rPr>
        <w:t xml:space="preserve">Level 1 information is provided at initial </w:t>
      </w:r>
      <w:r w:rsidR="00AD0441" w:rsidRPr="004F7182">
        <w:rPr>
          <w:rFonts w:ascii="Calibri" w:hAnsi="Calibri"/>
          <w:color w:val="2C2C2C" w:themeColor="text1"/>
        </w:rPr>
        <w:t>contract stage</w:t>
      </w:r>
      <w:r w:rsidRPr="004F7182">
        <w:rPr>
          <w:rFonts w:ascii="Calibri" w:hAnsi="Calibri"/>
          <w:color w:val="2C2C2C" w:themeColor="text1"/>
        </w:rPr>
        <w:t xml:space="preserve"> by way of </w:t>
      </w:r>
      <w:r w:rsidR="00AD0441" w:rsidRPr="004F7182">
        <w:rPr>
          <w:rFonts w:ascii="Calibri" w:hAnsi="Calibri"/>
          <w:color w:val="2C2C2C" w:themeColor="text1"/>
        </w:rPr>
        <w:t xml:space="preserve">attachment of the </w:t>
      </w:r>
      <w:r w:rsidRPr="004F7182">
        <w:rPr>
          <w:rFonts w:ascii="Calibri" w:hAnsi="Calibri"/>
          <w:color w:val="2C2C2C" w:themeColor="text1"/>
        </w:rPr>
        <w:t xml:space="preserve"> ‘Level 1 workbook’ </w:t>
      </w:r>
      <w:r w:rsidR="00AD0441" w:rsidRPr="004F7182">
        <w:rPr>
          <w:rFonts w:ascii="Calibri" w:hAnsi="Calibri"/>
          <w:color w:val="2C2C2C" w:themeColor="text1"/>
        </w:rPr>
        <w:t xml:space="preserve">with employment particulars, again visiting this at </w:t>
      </w:r>
      <w:r w:rsidR="004F7182">
        <w:rPr>
          <w:rFonts w:ascii="Calibri" w:hAnsi="Calibri"/>
          <w:color w:val="2C2C2C" w:themeColor="text1"/>
        </w:rPr>
        <w:t xml:space="preserve">the </w:t>
      </w:r>
      <w:r w:rsidR="00AD0441" w:rsidRPr="004F7182">
        <w:rPr>
          <w:rFonts w:ascii="Calibri" w:hAnsi="Calibri"/>
          <w:color w:val="2C2C2C" w:themeColor="text1"/>
        </w:rPr>
        <w:t xml:space="preserve">induction </w:t>
      </w:r>
      <w:r w:rsidR="004F7182">
        <w:rPr>
          <w:rFonts w:ascii="Calibri" w:hAnsi="Calibri"/>
          <w:color w:val="2C2C2C" w:themeColor="text1"/>
        </w:rPr>
        <w:t xml:space="preserve">sessions and </w:t>
      </w:r>
      <w:r w:rsidR="00AD0441" w:rsidRPr="004F7182">
        <w:rPr>
          <w:rFonts w:ascii="Calibri" w:hAnsi="Calibri"/>
          <w:color w:val="2C2C2C" w:themeColor="text1"/>
        </w:rPr>
        <w:t xml:space="preserve">followed by </w:t>
      </w:r>
      <w:r w:rsidRPr="004F7182">
        <w:rPr>
          <w:rFonts w:ascii="Calibri" w:hAnsi="Calibri"/>
          <w:color w:val="2C2C2C" w:themeColor="text1"/>
        </w:rPr>
        <w:t xml:space="preserve">further on-line training within </w:t>
      </w:r>
      <w:r w:rsidR="00D15A29" w:rsidRPr="004F7182">
        <w:rPr>
          <w:rFonts w:ascii="Calibri" w:hAnsi="Calibri"/>
          <w:color w:val="2C2C2C" w:themeColor="text1"/>
        </w:rPr>
        <w:t xml:space="preserve">the first month of employment to Level 3.  </w:t>
      </w:r>
      <w:r w:rsidR="004F7182">
        <w:rPr>
          <w:rFonts w:ascii="Calibri" w:hAnsi="Calibri"/>
          <w:color w:val="2C2C2C" w:themeColor="text1"/>
        </w:rPr>
        <w:t xml:space="preserve">Training is currently provided </w:t>
      </w:r>
      <w:r w:rsidR="00D15A29" w:rsidRPr="004F7182">
        <w:rPr>
          <w:rFonts w:ascii="Calibri" w:hAnsi="Calibri"/>
          <w:color w:val="2C2C2C" w:themeColor="text1"/>
        </w:rPr>
        <w:t>through ‘Blue Stream Academy</w:t>
      </w:r>
      <w:r w:rsidR="004F7182" w:rsidRPr="004F7182">
        <w:rPr>
          <w:rFonts w:ascii="Calibri" w:hAnsi="Calibri"/>
          <w:color w:val="2C2C2C" w:themeColor="text1"/>
        </w:rPr>
        <w:t>’ training</w:t>
      </w:r>
      <w:r w:rsidR="00AD0441" w:rsidRPr="004F7182">
        <w:rPr>
          <w:rFonts w:ascii="Calibri" w:hAnsi="Calibri"/>
          <w:color w:val="2C2C2C" w:themeColor="text1"/>
        </w:rPr>
        <w:t xml:space="preserve"> database but may well be subject to change of any other bespoke online training.</w:t>
      </w:r>
      <w:r w:rsidR="00D15A29" w:rsidRPr="004F7182">
        <w:rPr>
          <w:rFonts w:ascii="Calibri" w:hAnsi="Calibri"/>
          <w:color w:val="2C2C2C" w:themeColor="text1"/>
        </w:rPr>
        <w:t xml:space="preserve">  </w:t>
      </w:r>
    </w:p>
    <w:p w14:paraId="74915AE3" w14:textId="316F8B42" w:rsidR="004F7182" w:rsidRDefault="00D15A29" w:rsidP="004F7182">
      <w:pPr>
        <w:rPr>
          <w:rFonts w:ascii="Calibri" w:hAnsi="Calibri"/>
          <w:color w:val="2C2C2C" w:themeColor="text1"/>
        </w:rPr>
      </w:pPr>
      <w:r w:rsidRPr="004F7182">
        <w:rPr>
          <w:rFonts w:ascii="Calibri" w:hAnsi="Calibri"/>
          <w:color w:val="2C2C2C" w:themeColor="text1"/>
        </w:rPr>
        <w:t xml:space="preserve">Any clinical staff will undertake online training but attend a bespoke training session every other year.  </w:t>
      </w:r>
      <w:r w:rsidR="0023468D" w:rsidRPr="004F7182">
        <w:rPr>
          <w:rFonts w:ascii="Calibri" w:hAnsi="Calibri"/>
          <w:color w:val="2C2C2C" w:themeColor="text1"/>
        </w:rPr>
        <w:t xml:space="preserve"> All training is managed by the Director of Personnel who documents the training available</w:t>
      </w:r>
      <w:r w:rsidR="00AD0441" w:rsidRPr="004F7182">
        <w:rPr>
          <w:rFonts w:ascii="Calibri" w:hAnsi="Calibri"/>
          <w:color w:val="2C2C2C" w:themeColor="text1"/>
        </w:rPr>
        <w:t xml:space="preserve"> and timings of refresher </w:t>
      </w:r>
      <w:r w:rsidR="004F7182" w:rsidRPr="004F7182">
        <w:rPr>
          <w:rFonts w:ascii="Calibri" w:hAnsi="Calibri"/>
          <w:color w:val="2C2C2C" w:themeColor="text1"/>
        </w:rPr>
        <w:t>training and</w:t>
      </w:r>
      <w:r w:rsidR="0023468D" w:rsidRPr="004F7182">
        <w:rPr>
          <w:rFonts w:ascii="Calibri" w:hAnsi="Calibri"/>
          <w:color w:val="2C2C2C" w:themeColor="text1"/>
        </w:rPr>
        <w:t xml:space="preserve"> is the person who should be contacted. </w:t>
      </w:r>
      <w:r w:rsidR="00AD0441" w:rsidRPr="004F7182">
        <w:rPr>
          <w:rFonts w:ascii="Calibri" w:hAnsi="Calibri"/>
          <w:color w:val="2C2C2C" w:themeColor="text1"/>
        </w:rPr>
        <w:t xml:space="preserve">  </w:t>
      </w:r>
    </w:p>
    <w:p w14:paraId="1F3E3FE4" w14:textId="77777777" w:rsidR="004F7182" w:rsidRDefault="004F7182">
      <w:pPr>
        <w:rPr>
          <w:rFonts w:ascii="Calibri" w:hAnsi="Calibri"/>
          <w:color w:val="2C2C2C" w:themeColor="text1"/>
        </w:rPr>
      </w:pPr>
      <w:r>
        <w:rPr>
          <w:rFonts w:ascii="Calibri" w:hAnsi="Calibri"/>
          <w:color w:val="2C2C2C" w:themeColor="text1"/>
        </w:rPr>
        <w:br w:type="page"/>
      </w:r>
    </w:p>
    <w:p w14:paraId="5A3B566D" w14:textId="77777777" w:rsidR="004F7182" w:rsidRDefault="004F7182" w:rsidP="004F7182">
      <w:pPr>
        <w:rPr>
          <w:rFonts w:ascii="Calibri" w:hAnsi="Calibri"/>
          <w:color w:val="2C2C2C" w:themeColor="text1"/>
        </w:rPr>
      </w:pPr>
    </w:p>
    <w:p w14:paraId="04A7BE58" w14:textId="6F358DE4" w:rsidR="000512DD" w:rsidRPr="00721E74" w:rsidRDefault="000512DD" w:rsidP="004F7182">
      <w:pPr>
        <w:pStyle w:val="Heading1"/>
      </w:pPr>
      <w:r w:rsidRPr="000512DD">
        <w:t>Appendix 1 – Examples of when the Safeguarding Adults</w:t>
      </w:r>
      <w:r w:rsidR="00A4719D">
        <w:t xml:space="preserve"> at risk</w:t>
      </w:r>
      <w:r w:rsidRPr="000512DD">
        <w:t xml:space="preserve"> Procedure May</w:t>
      </w:r>
      <w:r w:rsidR="00A4719D">
        <w:t xml:space="preserve"> </w:t>
      </w:r>
      <w:r w:rsidR="0072444D" w:rsidRPr="000512DD">
        <w:t>OR</w:t>
      </w:r>
      <w:r w:rsidRPr="000512DD">
        <w:t xml:space="preserve"> May Not be Needed</w:t>
      </w:r>
    </w:p>
    <w:p w14:paraId="323DDF68" w14:textId="77777777" w:rsidR="000512DD" w:rsidRPr="000512DD" w:rsidRDefault="000512DD" w:rsidP="000512DD">
      <w:pPr>
        <w:rPr>
          <w:rFonts w:ascii="Calibri" w:hAnsi="Calibri"/>
        </w:rPr>
      </w:pPr>
      <w:r w:rsidRPr="000512DD">
        <w:rPr>
          <w:rFonts w:ascii="Calibri" w:hAnsi="Calibri"/>
        </w:rPr>
        <w:t>The difference between poor practice and neglect is much contested. If a person is totally dependent on others’ assistance to meet basic needs, continual “poor practice” can lead to serious harm or d</w:t>
      </w:r>
      <w:r w:rsidR="00721E74">
        <w:rPr>
          <w:rFonts w:ascii="Calibri" w:hAnsi="Calibri"/>
        </w:rPr>
        <w:t>eath.</w:t>
      </w:r>
    </w:p>
    <w:p w14:paraId="0AB05D6B" w14:textId="77777777" w:rsidR="000512DD" w:rsidRPr="000512DD" w:rsidRDefault="000512DD" w:rsidP="000512DD">
      <w:pPr>
        <w:rPr>
          <w:rFonts w:ascii="Calibri" w:hAnsi="Calibri"/>
        </w:rPr>
      </w:pPr>
      <w:r w:rsidRPr="000512DD">
        <w:rPr>
          <w:rFonts w:ascii="Calibri" w:hAnsi="Calibri"/>
        </w:rPr>
        <w:t xml:space="preserve">Useful elements in deciding if poor practice has occurred which does not require a safeguarding </w:t>
      </w:r>
      <w:r w:rsidR="0072444D" w:rsidRPr="000512DD">
        <w:rPr>
          <w:rFonts w:ascii="Calibri" w:hAnsi="Calibri"/>
        </w:rPr>
        <w:t>adult’s</w:t>
      </w:r>
      <w:r w:rsidRPr="000512DD">
        <w:rPr>
          <w:rFonts w:ascii="Calibri" w:hAnsi="Calibri"/>
        </w:rPr>
        <w:t xml:space="preserve"> response are to ascertain if the concern:</w:t>
      </w:r>
    </w:p>
    <w:p w14:paraId="2AFC9409" w14:textId="77777777" w:rsidR="000512DD" w:rsidRPr="00721E74" w:rsidRDefault="00312772" w:rsidP="00721E74">
      <w:pPr>
        <w:pStyle w:val="ListParagraph"/>
        <w:numPr>
          <w:ilvl w:val="0"/>
          <w:numId w:val="10"/>
        </w:numPr>
        <w:rPr>
          <w:rFonts w:ascii="Calibri" w:hAnsi="Calibri"/>
        </w:rPr>
      </w:pPr>
      <w:r w:rsidRPr="00721E74">
        <w:rPr>
          <w:rFonts w:ascii="Calibri" w:hAnsi="Calibri"/>
        </w:rPr>
        <w:t>Is</w:t>
      </w:r>
      <w:r w:rsidR="000512DD" w:rsidRPr="00721E74">
        <w:rPr>
          <w:rFonts w:ascii="Calibri" w:hAnsi="Calibri"/>
        </w:rPr>
        <w:t xml:space="preserve"> a “one off” incident to one individual</w:t>
      </w:r>
      <w:r w:rsidR="00295DEB">
        <w:rPr>
          <w:rFonts w:ascii="Calibri" w:hAnsi="Calibri"/>
        </w:rPr>
        <w:t xml:space="preserve"> and will depend on severity </w:t>
      </w:r>
    </w:p>
    <w:p w14:paraId="36C7DFA8" w14:textId="77777777" w:rsidR="000512DD" w:rsidRPr="00721E74" w:rsidRDefault="00312772" w:rsidP="00721E74">
      <w:pPr>
        <w:pStyle w:val="ListParagraph"/>
        <w:numPr>
          <w:ilvl w:val="0"/>
          <w:numId w:val="10"/>
        </w:numPr>
        <w:rPr>
          <w:rFonts w:ascii="Calibri" w:hAnsi="Calibri"/>
        </w:rPr>
      </w:pPr>
      <w:r w:rsidRPr="00721E74">
        <w:rPr>
          <w:rFonts w:ascii="Calibri" w:hAnsi="Calibri"/>
        </w:rPr>
        <w:t>Resulted</w:t>
      </w:r>
      <w:r w:rsidR="000512DD" w:rsidRPr="00721E74">
        <w:rPr>
          <w:rFonts w:ascii="Calibri" w:hAnsi="Calibri"/>
        </w:rPr>
        <w:t xml:space="preserve"> in no harm</w:t>
      </w:r>
    </w:p>
    <w:p w14:paraId="2CDC0753" w14:textId="77777777" w:rsidR="000512DD" w:rsidRPr="00721E74" w:rsidRDefault="00312772" w:rsidP="00721E74">
      <w:pPr>
        <w:pStyle w:val="ListParagraph"/>
        <w:numPr>
          <w:ilvl w:val="0"/>
          <w:numId w:val="10"/>
        </w:numPr>
        <w:rPr>
          <w:rFonts w:ascii="Calibri" w:hAnsi="Calibri"/>
        </w:rPr>
      </w:pPr>
      <w:r w:rsidRPr="00721E74">
        <w:rPr>
          <w:rFonts w:ascii="Calibri" w:hAnsi="Calibri"/>
        </w:rPr>
        <w:t>Indicated</w:t>
      </w:r>
      <w:r w:rsidR="000512DD" w:rsidRPr="00721E74">
        <w:rPr>
          <w:rFonts w:ascii="Calibri" w:hAnsi="Calibri"/>
        </w:rPr>
        <w:t xml:space="preserve"> a need for a defined actio</w:t>
      </w:r>
      <w:r w:rsidR="00721E74" w:rsidRPr="00721E74">
        <w:rPr>
          <w:rFonts w:ascii="Calibri" w:hAnsi="Calibri"/>
        </w:rPr>
        <w:t>n</w:t>
      </w:r>
    </w:p>
    <w:p w14:paraId="1011C615" w14:textId="77777777" w:rsidR="000512DD" w:rsidRPr="000512DD" w:rsidRDefault="000512DD" w:rsidP="000512DD">
      <w:pPr>
        <w:rPr>
          <w:rFonts w:ascii="Calibri" w:hAnsi="Calibri"/>
        </w:rPr>
      </w:pPr>
      <w:r w:rsidRPr="000512DD">
        <w:rPr>
          <w:rFonts w:ascii="Calibri" w:hAnsi="Calibri"/>
        </w:rPr>
        <w:t>Examples of the difference between poor practice and neglect can be seen below. The left hand column provides examples of poor practice which would still require addressing internally; the right hand column provides examples of when that poor practice crosses the threshold to become a possible safeguarding adult’s issue.</w:t>
      </w:r>
    </w:p>
    <w:p w14:paraId="14E8DFAF" w14:textId="77777777" w:rsidR="000512DD" w:rsidRDefault="000512DD" w:rsidP="000512DD">
      <w:pPr>
        <w:rPr>
          <w:rFonts w:ascii="Calibri" w:hAnsi="Calibri"/>
        </w:rPr>
      </w:pPr>
      <w:r w:rsidRPr="000512DD">
        <w:rPr>
          <w:rFonts w:ascii="Calibri" w:hAnsi="Calibri"/>
        </w:rPr>
        <w:t>With all the examples on the right, if they are a common occurrence in the setting, or there are no policies/protocols in place or not just being perpetrated by one member of staff, this will potentially pass the threshold for whole service investigation.</w:t>
      </w: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62"/>
        <w:gridCol w:w="2325"/>
        <w:gridCol w:w="2315"/>
      </w:tblGrid>
      <w:tr w:rsidR="00721E74" w:rsidRPr="00721E74" w14:paraId="334DF9A3" w14:textId="77777777" w:rsidTr="00AC6F43">
        <w:trPr>
          <w:trHeight w:hRule="exact" w:val="344"/>
        </w:trPr>
        <w:tc>
          <w:tcPr>
            <w:tcW w:w="4662" w:type="dxa"/>
            <w:tcBorders>
              <w:bottom w:val="nil"/>
            </w:tcBorders>
            <w:shd w:val="clear" w:color="auto" w:fill="3265DC"/>
          </w:tcPr>
          <w:p w14:paraId="44D9FE10" w14:textId="77777777" w:rsidR="00721E74" w:rsidRPr="00721E74" w:rsidRDefault="00721E74" w:rsidP="00721E74">
            <w:pPr>
              <w:pStyle w:val="TableParagraph"/>
              <w:spacing w:line="267" w:lineRule="exact"/>
              <w:ind w:left="199"/>
              <w:rPr>
                <w:b/>
                <w:sz w:val="20"/>
                <w:szCs w:val="20"/>
              </w:rPr>
            </w:pPr>
            <w:r w:rsidRPr="00721E74">
              <w:rPr>
                <w:b/>
                <w:color w:val="FFFFFF"/>
                <w:sz w:val="20"/>
                <w:szCs w:val="20"/>
              </w:rPr>
              <w:t>Allegations which may NOT pass the threshold</w:t>
            </w:r>
          </w:p>
        </w:tc>
        <w:tc>
          <w:tcPr>
            <w:tcW w:w="4640" w:type="dxa"/>
            <w:gridSpan w:val="2"/>
            <w:tcBorders>
              <w:bottom w:val="nil"/>
            </w:tcBorders>
            <w:shd w:val="clear" w:color="auto" w:fill="3265DC"/>
          </w:tcPr>
          <w:p w14:paraId="79F47C35" w14:textId="77777777" w:rsidR="00721E74" w:rsidRPr="00721E74" w:rsidRDefault="00721E74" w:rsidP="00721E74">
            <w:pPr>
              <w:pStyle w:val="TableParagraph"/>
              <w:spacing w:line="267" w:lineRule="exact"/>
              <w:ind w:left="208"/>
              <w:rPr>
                <w:b/>
                <w:sz w:val="20"/>
                <w:szCs w:val="20"/>
              </w:rPr>
            </w:pPr>
            <w:r w:rsidRPr="00721E74">
              <w:rPr>
                <w:b/>
                <w:color w:val="FFFFFF"/>
                <w:sz w:val="20"/>
                <w:szCs w:val="20"/>
              </w:rPr>
              <w:t>Allegations which WILL pass the threshold for</w:t>
            </w:r>
          </w:p>
        </w:tc>
      </w:tr>
      <w:tr w:rsidR="00721E74" w:rsidRPr="00721E74" w14:paraId="7FF19C8A" w14:textId="77777777" w:rsidTr="00AC6F43">
        <w:trPr>
          <w:trHeight w:hRule="exact" w:val="308"/>
        </w:trPr>
        <w:tc>
          <w:tcPr>
            <w:tcW w:w="4662" w:type="dxa"/>
            <w:tcBorders>
              <w:top w:val="nil"/>
            </w:tcBorders>
            <w:shd w:val="clear" w:color="auto" w:fill="3265DC"/>
          </w:tcPr>
          <w:p w14:paraId="516EA9C5" w14:textId="77777777" w:rsidR="00721E74" w:rsidRPr="00721E74" w:rsidRDefault="00721E74" w:rsidP="00721E74">
            <w:pPr>
              <w:pStyle w:val="TableParagraph"/>
              <w:spacing w:before="28"/>
              <w:ind w:left="280"/>
              <w:rPr>
                <w:b/>
                <w:sz w:val="20"/>
                <w:szCs w:val="20"/>
              </w:rPr>
            </w:pPr>
            <w:r w:rsidRPr="00721E74">
              <w:rPr>
                <w:b/>
                <w:color w:val="FFFFFF"/>
                <w:sz w:val="20"/>
                <w:szCs w:val="20"/>
              </w:rPr>
              <w:t>for use of the Safeguarding Adults procedure</w:t>
            </w:r>
          </w:p>
        </w:tc>
        <w:tc>
          <w:tcPr>
            <w:tcW w:w="4640" w:type="dxa"/>
            <w:gridSpan w:val="2"/>
            <w:tcBorders>
              <w:top w:val="nil"/>
            </w:tcBorders>
            <w:shd w:val="clear" w:color="auto" w:fill="3265DC"/>
          </w:tcPr>
          <w:p w14:paraId="1D73D651" w14:textId="77777777" w:rsidR="00721E74" w:rsidRPr="00721E74" w:rsidRDefault="00721E74" w:rsidP="00721E74">
            <w:pPr>
              <w:pStyle w:val="TableParagraph"/>
              <w:spacing w:before="28"/>
              <w:ind w:left="388"/>
              <w:rPr>
                <w:b/>
                <w:sz w:val="20"/>
                <w:szCs w:val="20"/>
              </w:rPr>
            </w:pPr>
            <w:r w:rsidRPr="00721E74">
              <w:rPr>
                <w:b/>
                <w:color w:val="FFFFFF"/>
                <w:sz w:val="20"/>
                <w:szCs w:val="20"/>
              </w:rPr>
              <w:t>use of the Safeguarding Adults procedure</w:t>
            </w:r>
          </w:p>
        </w:tc>
      </w:tr>
      <w:tr w:rsidR="00721E74" w:rsidRPr="00721E74" w14:paraId="23F07FCC" w14:textId="77777777" w:rsidTr="00721E74">
        <w:trPr>
          <w:trHeight w:hRule="exact" w:val="460"/>
        </w:trPr>
        <w:tc>
          <w:tcPr>
            <w:tcW w:w="4662" w:type="dxa"/>
            <w:tcBorders>
              <w:bottom w:val="nil"/>
            </w:tcBorders>
          </w:tcPr>
          <w:p w14:paraId="730F6665" w14:textId="77777777" w:rsidR="00721E74" w:rsidRPr="00721E74" w:rsidRDefault="00721E74" w:rsidP="00721E74">
            <w:pPr>
              <w:pStyle w:val="TableParagraph"/>
              <w:spacing w:line="263" w:lineRule="exact"/>
              <w:ind w:left="120"/>
              <w:rPr>
                <w:b/>
                <w:sz w:val="18"/>
                <w:szCs w:val="18"/>
              </w:rPr>
            </w:pPr>
            <w:r w:rsidRPr="00721E74">
              <w:rPr>
                <w:b/>
                <w:sz w:val="18"/>
                <w:szCs w:val="18"/>
              </w:rPr>
              <w:t>Poor practice:</w:t>
            </w:r>
          </w:p>
        </w:tc>
        <w:tc>
          <w:tcPr>
            <w:tcW w:w="2325" w:type="dxa"/>
            <w:tcBorders>
              <w:bottom w:val="nil"/>
              <w:right w:val="nil"/>
            </w:tcBorders>
          </w:tcPr>
          <w:p w14:paraId="30D83218" w14:textId="77777777" w:rsidR="00721E74" w:rsidRPr="00721E74" w:rsidRDefault="00721E74" w:rsidP="00721E74">
            <w:pPr>
              <w:pStyle w:val="TableParagraph"/>
              <w:spacing w:line="263" w:lineRule="exact"/>
              <w:ind w:left="88"/>
              <w:rPr>
                <w:b/>
                <w:sz w:val="18"/>
                <w:szCs w:val="18"/>
              </w:rPr>
            </w:pPr>
            <w:r w:rsidRPr="00721E74">
              <w:rPr>
                <w:b/>
                <w:sz w:val="18"/>
                <w:szCs w:val="18"/>
              </w:rPr>
              <w:t>Possible abuse:</w:t>
            </w:r>
          </w:p>
        </w:tc>
        <w:tc>
          <w:tcPr>
            <w:tcW w:w="2315" w:type="dxa"/>
            <w:tcBorders>
              <w:left w:val="nil"/>
              <w:bottom w:val="nil"/>
            </w:tcBorders>
          </w:tcPr>
          <w:p w14:paraId="710690DE" w14:textId="77777777" w:rsidR="00721E74" w:rsidRPr="00721E74" w:rsidRDefault="00721E74" w:rsidP="00721E74">
            <w:pPr>
              <w:rPr>
                <w:rFonts w:ascii="Calibri" w:hAnsi="Calibri"/>
                <w:sz w:val="18"/>
                <w:szCs w:val="18"/>
              </w:rPr>
            </w:pPr>
          </w:p>
        </w:tc>
      </w:tr>
      <w:tr w:rsidR="00721E74" w:rsidRPr="00721E74" w14:paraId="23A13EAA" w14:textId="77777777" w:rsidTr="00721E74">
        <w:trPr>
          <w:trHeight w:hRule="exact" w:val="456"/>
        </w:trPr>
        <w:tc>
          <w:tcPr>
            <w:tcW w:w="4662" w:type="dxa"/>
            <w:tcBorders>
              <w:top w:val="nil"/>
              <w:bottom w:val="nil"/>
            </w:tcBorders>
          </w:tcPr>
          <w:p w14:paraId="5C63855B" w14:textId="77777777" w:rsidR="00721E74" w:rsidRPr="00721E74" w:rsidRDefault="0072444D" w:rsidP="00721E74">
            <w:pPr>
              <w:pStyle w:val="TableParagraph"/>
              <w:spacing w:before="147"/>
              <w:ind w:left="120"/>
              <w:rPr>
                <w:sz w:val="18"/>
                <w:szCs w:val="18"/>
              </w:rPr>
            </w:pPr>
            <w:r w:rsidRPr="00721E74">
              <w:rPr>
                <w:sz w:val="18"/>
                <w:szCs w:val="18"/>
              </w:rPr>
              <w:t>Person does not have within their</w:t>
            </w:r>
            <w:r w:rsidR="00721E74" w:rsidRPr="00721E74">
              <w:rPr>
                <w:sz w:val="18"/>
                <w:szCs w:val="18"/>
              </w:rPr>
              <w:t xml:space="preserve"> care</w:t>
            </w:r>
          </w:p>
        </w:tc>
        <w:tc>
          <w:tcPr>
            <w:tcW w:w="4640" w:type="dxa"/>
            <w:gridSpan w:val="2"/>
            <w:tcBorders>
              <w:top w:val="nil"/>
              <w:bottom w:val="nil"/>
            </w:tcBorders>
          </w:tcPr>
          <w:p w14:paraId="70FFE280" w14:textId="77777777" w:rsidR="00721E74" w:rsidRPr="00721E74" w:rsidRDefault="00721E74" w:rsidP="00721E74">
            <w:pPr>
              <w:pStyle w:val="TableParagraph"/>
              <w:spacing w:before="147"/>
              <w:ind w:left="88"/>
              <w:rPr>
                <w:sz w:val="18"/>
                <w:szCs w:val="18"/>
              </w:rPr>
            </w:pPr>
            <w:r w:rsidRPr="00721E74">
              <w:rPr>
                <w:sz w:val="18"/>
                <w:szCs w:val="18"/>
              </w:rPr>
              <w:t>Failure to specify in a persons’ plan how a</w:t>
            </w:r>
          </w:p>
        </w:tc>
      </w:tr>
      <w:tr w:rsidR="00721E74" w:rsidRPr="00721E74" w14:paraId="76DCAA7B" w14:textId="77777777" w:rsidTr="00721E74">
        <w:trPr>
          <w:trHeight w:hRule="exact" w:val="310"/>
        </w:trPr>
        <w:tc>
          <w:tcPr>
            <w:tcW w:w="4662" w:type="dxa"/>
            <w:tcBorders>
              <w:top w:val="nil"/>
              <w:bottom w:val="nil"/>
            </w:tcBorders>
          </w:tcPr>
          <w:p w14:paraId="7BEDC477" w14:textId="77777777" w:rsidR="00721E74" w:rsidRPr="00721E74" w:rsidRDefault="00721E74" w:rsidP="00721E74">
            <w:pPr>
              <w:pStyle w:val="TableParagraph"/>
              <w:ind w:left="120"/>
              <w:rPr>
                <w:sz w:val="18"/>
                <w:szCs w:val="18"/>
              </w:rPr>
            </w:pPr>
            <w:r w:rsidRPr="00721E74">
              <w:rPr>
                <w:sz w:val="18"/>
                <w:szCs w:val="18"/>
              </w:rPr>
              <w:t>plan/</w:t>
            </w:r>
            <w:r w:rsidR="0072444D" w:rsidRPr="00721E74">
              <w:rPr>
                <w:sz w:val="18"/>
                <w:szCs w:val="18"/>
              </w:rPr>
              <w:t>service delivery plan</w:t>
            </w:r>
            <w:r w:rsidRPr="00721E74">
              <w:rPr>
                <w:sz w:val="18"/>
                <w:szCs w:val="18"/>
              </w:rPr>
              <w:t>/</w:t>
            </w:r>
            <w:r w:rsidR="0072444D" w:rsidRPr="00721E74">
              <w:rPr>
                <w:sz w:val="18"/>
                <w:szCs w:val="18"/>
              </w:rPr>
              <w:t>treatment plan</w:t>
            </w:r>
            <w:r w:rsidRPr="00721E74">
              <w:rPr>
                <w:sz w:val="18"/>
                <w:szCs w:val="18"/>
              </w:rPr>
              <w:t xml:space="preserve"> a</w:t>
            </w:r>
          </w:p>
        </w:tc>
        <w:tc>
          <w:tcPr>
            <w:tcW w:w="2325" w:type="dxa"/>
            <w:tcBorders>
              <w:top w:val="nil"/>
              <w:bottom w:val="nil"/>
              <w:right w:val="nil"/>
            </w:tcBorders>
          </w:tcPr>
          <w:p w14:paraId="6B96F8B9" w14:textId="77777777" w:rsidR="00721E74" w:rsidRPr="00721E74" w:rsidRDefault="00721E74" w:rsidP="00721E74">
            <w:pPr>
              <w:pStyle w:val="TableParagraph"/>
              <w:ind w:left="88"/>
              <w:rPr>
                <w:sz w:val="18"/>
                <w:szCs w:val="18"/>
              </w:rPr>
            </w:pPr>
            <w:r w:rsidRPr="00721E74">
              <w:rPr>
                <w:sz w:val="18"/>
                <w:szCs w:val="18"/>
              </w:rPr>
              <w:t>significant need must be met.</w:t>
            </w:r>
          </w:p>
        </w:tc>
        <w:tc>
          <w:tcPr>
            <w:tcW w:w="2315" w:type="dxa"/>
            <w:tcBorders>
              <w:top w:val="nil"/>
              <w:left w:val="nil"/>
              <w:bottom w:val="nil"/>
            </w:tcBorders>
          </w:tcPr>
          <w:p w14:paraId="19D0B5D7" w14:textId="77777777" w:rsidR="00721E74" w:rsidRPr="00721E74" w:rsidRDefault="00721E74" w:rsidP="00721E74">
            <w:pPr>
              <w:pStyle w:val="TableParagraph"/>
              <w:ind w:right="28"/>
              <w:rPr>
                <w:sz w:val="18"/>
                <w:szCs w:val="18"/>
              </w:rPr>
            </w:pPr>
            <w:r w:rsidRPr="00721E74">
              <w:rPr>
                <w:sz w:val="18"/>
                <w:szCs w:val="18"/>
              </w:rPr>
              <w:t>Inappropriate</w:t>
            </w:r>
          </w:p>
        </w:tc>
      </w:tr>
      <w:tr w:rsidR="00721E74" w:rsidRPr="00721E74" w14:paraId="6DCCFC92" w14:textId="77777777" w:rsidTr="00721E74">
        <w:trPr>
          <w:trHeight w:hRule="exact" w:val="308"/>
        </w:trPr>
        <w:tc>
          <w:tcPr>
            <w:tcW w:w="4662" w:type="dxa"/>
            <w:tcBorders>
              <w:top w:val="nil"/>
              <w:bottom w:val="nil"/>
            </w:tcBorders>
          </w:tcPr>
          <w:p w14:paraId="0A85256D" w14:textId="77777777" w:rsidR="00721E74" w:rsidRPr="00721E74" w:rsidRDefault="00721E74" w:rsidP="00721E74">
            <w:pPr>
              <w:pStyle w:val="TableParagraph"/>
              <w:ind w:left="120"/>
              <w:rPr>
                <w:sz w:val="18"/>
                <w:szCs w:val="18"/>
              </w:rPr>
            </w:pPr>
            <w:r w:rsidRPr="00721E74">
              <w:rPr>
                <w:sz w:val="18"/>
                <w:szCs w:val="18"/>
              </w:rPr>
              <w:t>section that addresses a significant assessed</w:t>
            </w:r>
          </w:p>
        </w:tc>
        <w:tc>
          <w:tcPr>
            <w:tcW w:w="4640" w:type="dxa"/>
            <w:gridSpan w:val="2"/>
            <w:tcBorders>
              <w:top w:val="nil"/>
              <w:bottom w:val="nil"/>
            </w:tcBorders>
          </w:tcPr>
          <w:p w14:paraId="30F97A13" w14:textId="77777777" w:rsidR="00721E74" w:rsidRPr="00721E74" w:rsidRDefault="00721E74" w:rsidP="00721E74">
            <w:pPr>
              <w:pStyle w:val="TableParagraph"/>
              <w:ind w:left="88"/>
              <w:rPr>
                <w:sz w:val="18"/>
                <w:szCs w:val="18"/>
              </w:rPr>
            </w:pPr>
            <w:r w:rsidRPr="00721E74">
              <w:rPr>
                <w:sz w:val="18"/>
                <w:szCs w:val="18"/>
              </w:rPr>
              <w:t>action or inaction related to this results in harm</w:t>
            </w:r>
          </w:p>
        </w:tc>
      </w:tr>
      <w:tr w:rsidR="00721E74" w:rsidRPr="00721E74" w14:paraId="10017D29" w14:textId="77777777" w:rsidTr="00721E74">
        <w:trPr>
          <w:trHeight w:hRule="exact" w:val="710"/>
        </w:trPr>
        <w:tc>
          <w:tcPr>
            <w:tcW w:w="4662" w:type="dxa"/>
            <w:tcBorders>
              <w:top w:val="nil"/>
              <w:bottom w:val="nil"/>
            </w:tcBorders>
          </w:tcPr>
          <w:p w14:paraId="6C026CCA" w14:textId="77777777" w:rsidR="00721E74" w:rsidRPr="00721E74" w:rsidRDefault="00721E74" w:rsidP="00721E74">
            <w:pPr>
              <w:pStyle w:val="TableParagraph"/>
              <w:spacing w:line="268" w:lineRule="exact"/>
              <w:ind w:left="120"/>
              <w:rPr>
                <w:sz w:val="18"/>
                <w:szCs w:val="18"/>
              </w:rPr>
            </w:pPr>
            <w:r w:rsidRPr="00721E74">
              <w:rPr>
                <w:sz w:val="18"/>
                <w:szCs w:val="18"/>
              </w:rPr>
              <w:t>need such as</w:t>
            </w:r>
            <w:r>
              <w:rPr>
                <w:sz w:val="18"/>
                <w:szCs w:val="18"/>
              </w:rPr>
              <w:t xml:space="preserve"> management of behavior to protect self or others </w:t>
            </w:r>
          </w:p>
        </w:tc>
        <w:tc>
          <w:tcPr>
            <w:tcW w:w="4640" w:type="dxa"/>
            <w:gridSpan w:val="2"/>
            <w:tcBorders>
              <w:top w:val="nil"/>
              <w:bottom w:val="nil"/>
            </w:tcBorders>
          </w:tcPr>
          <w:p w14:paraId="3414760C" w14:textId="77777777" w:rsidR="00721E74" w:rsidRPr="00721E74" w:rsidRDefault="00721E74" w:rsidP="00721E74">
            <w:pPr>
              <w:rPr>
                <w:rFonts w:ascii="Calibri" w:hAnsi="Calibri"/>
                <w:sz w:val="18"/>
                <w:szCs w:val="18"/>
              </w:rPr>
            </w:pPr>
          </w:p>
        </w:tc>
      </w:tr>
      <w:tr w:rsidR="00721E74" w:rsidRPr="00721E74" w14:paraId="4692ACA6" w14:textId="77777777" w:rsidTr="00721E74">
        <w:trPr>
          <w:trHeight w:hRule="exact" w:val="464"/>
        </w:trPr>
        <w:tc>
          <w:tcPr>
            <w:tcW w:w="4662" w:type="dxa"/>
            <w:tcBorders>
              <w:bottom w:val="nil"/>
            </w:tcBorders>
          </w:tcPr>
          <w:p w14:paraId="242B365C" w14:textId="77777777" w:rsidR="00721E74" w:rsidRPr="00721E74" w:rsidRDefault="00721E74" w:rsidP="00721E74">
            <w:pPr>
              <w:pStyle w:val="TableParagraph"/>
              <w:spacing w:line="263" w:lineRule="exact"/>
              <w:ind w:left="120"/>
              <w:rPr>
                <w:b/>
                <w:sz w:val="18"/>
                <w:szCs w:val="18"/>
              </w:rPr>
            </w:pPr>
            <w:r w:rsidRPr="00721E74">
              <w:rPr>
                <w:b/>
                <w:sz w:val="18"/>
                <w:szCs w:val="18"/>
              </w:rPr>
              <w:t>Poor practice:</w:t>
            </w:r>
          </w:p>
        </w:tc>
        <w:tc>
          <w:tcPr>
            <w:tcW w:w="2325" w:type="dxa"/>
            <w:tcBorders>
              <w:bottom w:val="nil"/>
              <w:right w:val="nil"/>
            </w:tcBorders>
          </w:tcPr>
          <w:p w14:paraId="28D11E32" w14:textId="77777777" w:rsidR="00721E74" w:rsidRPr="00721E74" w:rsidRDefault="00721E74" w:rsidP="00721E74">
            <w:pPr>
              <w:pStyle w:val="TableParagraph"/>
              <w:spacing w:line="263" w:lineRule="exact"/>
              <w:ind w:left="88"/>
              <w:rPr>
                <w:b/>
                <w:sz w:val="18"/>
                <w:szCs w:val="18"/>
              </w:rPr>
            </w:pPr>
            <w:r w:rsidRPr="00721E74">
              <w:rPr>
                <w:b/>
                <w:sz w:val="18"/>
                <w:szCs w:val="18"/>
              </w:rPr>
              <w:t>Possible abuse:</w:t>
            </w:r>
          </w:p>
        </w:tc>
        <w:tc>
          <w:tcPr>
            <w:tcW w:w="2315" w:type="dxa"/>
            <w:tcBorders>
              <w:left w:val="nil"/>
              <w:bottom w:val="nil"/>
            </w:tcBorders>
          </w:tcPr>
          <w:p w14:paraId="79803588" w14:textId="77777777" w:rsidR="00721E74" w:rsidRPr="00721E74" w:rsidRDefault="00721E74" w:rsidP="00721E74">
            <w:pPr>
              <w:rPr>
                <w:rFonts w:ascii="Calibri" w:hAnsi="Calibri"/>
                <w:sz w:val="18"/>
                <w:szCs w:val="18"/>
              </w:rPr>
            </w:pPr>
          </w:p>
        </w:tc>
      </w:tr>
      <w:tr w:rsidR="00721E74" w:rsidRPr="00721E74" w14:paraId="44E0ADB5" w14:textId="77777777" w:rsidTr="00721E74">
        <w:trPr>
          <w:trHeight w:hRule="exact" w:val="458"/>
        </w:trPr>
        <w:tc>
          <w:tcPr>
            <w:tcW w:w="4662" w:type="dxa"/>
            <w:tcBorders>
              <w:top w:val="nil"/>
              <w:bottom w:val="nil"/>
            </w:tcBorders>
          </w:tcPr>
          <w:p w14:paraId="03F63B18" w14:textId="77777777" w:rsidR="00721E74" w:rsidRPr="00721E74" w:rsidRDefault="00721E74" w:rsidP="00721E74">
            <w:pPr>
              <w:pStyle w:val="TableParagraph"/>
              <w:spacing w:before="151"/>
              <w:ind w:left="120"/>
              <w:rPr>
                <w:sz w:val="18"/>
                <w:szCs w:val="18"/>
              </w:rPr>
            </w:pPr>
            <w:r w:rsidRPr="00721E74">
              <w:rPr>
                <w:sz w:val="18"/>
                <w:szCs w:val="18"/>
              </w:rPr>
              <w:t>Person’s needs are specified in treatment or care</w:t>
            </w:r>
          </w:p>
        </w:tc>
        <w:tc>
          <w:tcPr>
            <w:tcW w:w="4640" w:type="dxa"/>
            <w:gridSpan w:val="2"/>
            <w:tcBorders>
              <w:top w:val="nil"/>
              <w:bottom w:val="nil"/>
            </w:tcBorders>
          </w:tcPr>
          <w:p w14:paraId="1845B295" w14:textId="77777777" w:rsidR="00721E74" w:rsidRPr="00721E74" w:rsidRDefault="00721E74" w:rsidP="00721E74">
            <w:pPr>
              <w:pStyle w:val="TableParagraph"/>
              <w:spacing w:before="151"/>
              <w:ind w:left="88"/>
              <w:rPr>
                <w:sz w:val="18"/>
                <w:szCs w:val="18"/>
              </w:rPr>
            </w:pPr>
            <w:r w:rsidRPr="00721E74">
              <w:rPr>
                <w:sz w:val="18"/>
                <w:szCs w:val="18"/>
              </w:rPr>
              <w:t>Recurring event, or is happening to more than</w:t>
            </w:r>
          </w:p>
        </w:tc>
      </w:tr>
      <w:tr w:rsidR="00721E74" w:rsidRPr="00721E74" w14:paraId="7371CBFF" w14:textId="77777777" w:rsidTr="00721E74">
        <w:trPr>
          <w:trHeight w:hRule="exact" w:val="309"/>
        </w:trPr>
        <w:tc>
          <w:tcPr>
            <w:tcW w:w="4662" w:type="dxa"/>
            <w:tcBorders>
              <w:top w:val="nil"/>
              <w:bottom w:val="nil"/>
            </w:tcBorders>
          </w:tcPr>
          <w:p w14:paraId="7A74DFB4" w14:textId="77777777" w:rsidR="00721E74" w:rsidRPr="00721E74" w:rsidRDefault="00721E74" w:rsidP="00721E74">
            <w:pPr>
              <w:pStyle w:val="TableParagraph"/>
              <w:spacing w:line="266" w:lineRule="exact"/>
              <w:ind w:left="120"/>
              <w:rPr>
                <w:sz w:val="18"/>
                <w:szCs w:val="18"/>
              </w:rPr>
            </w:pPr>
            <w:r w:rsidRPr="00721E74">
              <w:rPr>
                <w:sz w:val="18"/>
                <w:szCs w:val="18"/>
              </w:rPr>
              <w:t xml:space="preserve">plan.  </w:t>
            </w:r>
            <w:r w:rsidR="0072444D" w:rsidRPr="00721E74">
              <w:rPr>
                <w:sz w:val="18"/>
                <w:szCs w:val="18"/>
              </w:rPr>
              <w:t>Plan not followed, needs not met</w:t>
            </w:r>
            <w:r w:rsidRPr="00721E74">
              <w:rPr>
                <w:sz w:val="18"/>
                <w:szCs w:val="18"/>
              </w:rPr>
              <w:t xml:space="preserve"> as</w:t>
            </w:r>
          </w:p>
        </w:tc>
        <w:tc>
          <w:tcPr>
            <w:tcW w:w="2325" w:type="dxa"/>
            <w:tcBorders>
              <w:top w:val="nil"/>
              <w:bottom w:val="nil"/>
              <w:right w:val="nil"/>
            </w:tcBorders>
          </w:tcPr>
          <w:p w14:paraId="70B6EC42" w14:textId="77777777" w:rsidR="00721E74" w:rsidRPr="00721E74" w:rsidRDefault="00721E74" w:rsidP="00721E74">
            <w:pPr>
              <w:pStyle w:val="TableParagraph"/>
              <w:spacing w:line="266" w:lineRule="exact"/>
              <w:ind w:left="88"/>
              <w:rPr>
                <w:sz w:val="18"/>
                <w:szCs w:val="18"/>
              </w:rPr>
            </w:pPr>
            <w:r w:rsidRPr="00721E74">
              <w:rPr>
                <w:sz w:val="18"/>
                <w:szCs w:val="18"/>
              </w:rPr>
              <w:t>one adult.</w:t>
            </w:r>
          </w:p>
        </w:tc>
        <w:tc>
          <w:tcPr>
            <w:tcW w:w="2315" w:type="dxa"/>
            <w:tcBorders>
              <w:top w:val="nil"/>
              <w:left w:val="nil"/>
              <w:bottom w:val="nil"/>
            </w:tcBorders>
          </w:tcPr>
          <w:p w14:paraId="34928129" w14:textId="77777777" w:rsidR="00721E74" w:rsidRPr="00721E74" w:rsidRDefault="00721E74" w:rsidP="00721E74">
            <w:pPr>
              <w:rPr>
                <w:rFonts w:ascii="Calibri" w:hAnsi="Calibri"/>
                <w:sz w:val="18"/>
                <w:szCs w:val="18"/>
              </w:rPr>
            </w:pPr>
          </w:p>
        </w:tc>
      </w:tr>
      <w:tr w:rsidR="00721E74" w:rsidRPr="00721E74" w14:paraId="426B9BC4" w14:textId="77777777" w:rsidTr="00721E74">
        <w:trPr>
          <w:trHeight w:hRule="exact" w:val="308"/>
        </w:trPr>
        <w:tc>
          <w:tcPr>
            <w:tcW w:w="4662" w:type="dxa"/>
            <w:tcBorders>
              <w:top w:val="nil"/>
              <w:bottom w:val="nil"/>
            </w:tcBorders>
          </w:tcPr>
          <w:p w14:paraId="6FABE820" w14:textId="77777777" w:rsidR="00721E74" w:rsidRPr="00721E74" w:rsidRDefault="00721E74" w:rsidP="00721E74">
            <w:pPr>
              <w:pStyle w:val="TableParagraph"/>
              <w:spacing w:before="3"/>
              <w:ind w:left="120"/>
              <w:rPr>
                <w:sz w:val="18"/>
                <w:szCs w:val="18"/>
              </w:rPr>
            </w:pPr>
            <w:r w:rsidRPr="00721E74">
              <w:rPr>
                <w:sz w:val="18"/>
                <w:szCs w:val="18"/>
              </w:rPr>
              <w:t>specified but no harm occurs.</w:t>
            </w:r>
          </w:p>
        </w:tc>
        <w:tc>
          <w:tcPr>
            <w:tcW w:w="4640" w:type="dxa"/>
            <w:gridSpan w:val="2"/>
            <w:tcBorders>
              <w:top w:val="nil"/>
              <w:bottom w:val="nil"/>
            </w:tcBorders>
          </w:tcPr>
          <w:p w14:paraId="30F50272" w14:textId="77777777" w:rsidR="00721E74" w:rsidRPr="00721E74" w:rsidRDefault="00721E74" w:rsidP="00721E74">
            <w:pPr>
              <w:pStyle w:val="TableParagraph"/>
              <w:spacing w:before="3"/>
              <w:ind w:left="88"/>
              <w:rPr>
                <w:sz w:val="18"/>
                <w:szCs w:val="18"/>
              </w:rPr>
            </w:pPr>
            <w:r w:rsidRPr="00721E74">
              <w:rPr>
                <w:sz w:val="18"/>
                <w:szCs w:val="18"/>
              </w:rPr>
              <w:t>Harm: weight loss, hunger, thirst, dehydration,</w:t>
            </w:r>
          </w:p>
        </w:tc>
      </w:tr>
      <w:tr w:rsidR="00721E74" w:rsidRPr="00721E74" w14:paraId="62DB3558" w14:textId="77777777" w:rsidTr="00721E74">
        <w:trPr>
          <w:trHeight w:hRule="exact" w:val="326"/>
        </w:trPr>
        <w:tc>
          <w:tcPr>
            <w:tcW w:w="4662" w:type="dxa"/>
            <w:tcBorders>
              <w:top w:val="nil"/>
            </w:tcBorders>
          </w:tcPr>
          <w:p w14:paraId="35438B91" w14:textId="77777777" w:rsidR="00721E74" w:rsidRPr="00721E74" w:rsidRDefault="00721E74" w:rsidP="00721E74">
            <w:pPr>
              <w:rPr>
                <w:rFonts w:ascii="Calibri" w:hAnsi="Calibri"/>
                <w:sz w:val="18"/>
                <w:szCs w:val="18"/>
              </w:rPr>
            </w:pPr>
          </w:p>
        </w:tc>
        <w:tc>
          <w:tcPr>
            <w:tcW w:w="2325" w:type="dxa"/>
            <w:tcBorders>
              <w:top w:val="nil"/>
              <w:right w:val="nil"/>
            </w:tcBorders>
          </w:tcPr>
          <w:p w14:paraId="7B4DF996" w14:textId="77777777" w:rsidR="00721E74" w:rsidRPr="00721E74" w:rsidRDefault="00721E74" w:rsidP="00721E74">
            <w:pPr>
              <w:pStyle w:val="TableParagraph"/>
              <w:spacing w:line="265" w:lineRule="exact"/>
              <w:ind w:left="88"/>
              <w:rPr>
                <w:sz w:val="18"/>
                <w:szCs w:val="18"/>
              </w:rPr>
            </w:pPr>
            <w:r w:rsidRPr="00721E74">
              <w:rPr>
                <w:sz w:val="18"/>
                <w:szCs w:val="18"/>
              </w:rPr>
              <w:t>malnutrition.</w:t>
            </w:r>
          </w:p>
        </w:tc>
        <w:tc>
          <w:tcPr>
            <w:tcW w:w="2315" w:type="dxa"/>
            <w:tcBorders>
              <w:top w:val="nil"/>
              <w:left w:val="nil"/>
            </w:tcBorders>
          </w:tcPr>
          <w:p w14:paraId="796CED5E" w14:textId="77777777" w:rsidR="00721E74" w:rsidRPr="00721E74" w:rsidRDefault="00721E74" w:rsidP="00721E74">
            <w:pPr>
              <w:rPr>
                <w:rFonts w:ascii="Calibri" w:hAnsi="Calibri"/>
                <w:sz w:val="18"/>
                <w:szCs w:val="18"/>
              </w:rPr>
            </w:pPr>
          </w:p>
        </w:tc>
      </w:tr>
      <w:tr w:rsidR="00721E74" w:rsidRPr="00721E74" w14:paraId="2322CAE6" w14:textId="77777777" w:rsidTr="00721E74">
        <w:trPr>
          <w:trHeight w:hRule="exact" w:val="464"/>
        </w:trPr>
        <w:tc>
          <w:tcPr>
            <w:tcW w:w="4662" w:type="dxa"/>
            <w:tcBorders>
              <w:bottom w:val="nil"/>
            </w:tcBorders>
          </w:tcPr>
          <w:p w14:paraId="0E9A5719" w14:textId="77777777" w:rsidR="00721E74" w:rsidRPr="00721E74" w:rsidRDefault="00721E74" w:rsidP="00721E74">
            <w:pPr>
              <w:pStyle w:val="TableParagraph"/>
              <w:spacing w:line="263" w:lineRule="exact"/>
              <w:ind w:left="120"/>
              <w:rPr>
                <w:b/>
                <w:sz w:val="18"/>
                <w:szCs w:val="18"/>
              </w:rPr>
            </w:pPr>
            <w:r w:rsidRPr="00721E74">
              <w:rPr>
                <w:b/>
                <w:sz w:val="18"/>
                <w:szCs w:val="18"/>
              </w:rPr>
              <w:t>Poor practice:</w:t>
            </w:r>
          </w:p>
        </w:tc>
        <w:tc>
          <w:tcPr>
            <w:tcW w:w="2325" w:type="dxa"/>
            <w:tcBorders>
              <w:bottom w:val="nil"/>
              <w:right w:val="nil"/>
            </w:tcBorders>
          </w:tcPr>
          <w:p w14:paraId="520C23A9" w14:textId="77777777" w:rsidR="00721E74" w:rsidRPr="00721E74" w:rsidRDefault="00721E74" w:rsidP="00721E74">
            <w:pPr>
              <w:pStyle w:val="TableParagraph"/>
              <w:spacing w:line="263" w:lineRule="exact"/>
              <w:ind w:left="88"/>
              <w:rPr>
                <w:b/>
                <w:sz w:val="18"/>
                <w:szCs w:val="18"/>
              </w:rPr>
            </w:pPr>
            <w:r w:rsidRPr="00721E74">
              <w:rPr>
                <w:b/>
                <w:sz w:val="18"/>
                <w:szCs w:val="18"/>
              </w:rPr>
              <w:t>Possible abuse:</w:t>
            </w:r>
          </w:p>
        </w:tc>
        <w:tc>
          <w:tcPr>
            <w:tcW w:w="2315" w:type="dxa"/>
            <w:tcBorders>
              <w:left w:val="nil"/>
              <w:bottom w:val="nil"/>
            </w:tcBorders>
          </w:tcPr>
          <w:p w14:paraId="36C0F279" w14:textId="77777777" w:rsidR="00721E74" w:rsidRPr="00721E74" w:rsidRDefault="00721E74" w:rsidP="00721E74">
            <w:pPr>
              <w:rPr>
                <w:rFonts w:ascii="Calibri" w:hAnsi="Calibri"/>
                <w:sz w:val="18"/>
                <w:szCs w:val="18"/>
              </w:rPr>
            </w:pPr>
          </w:p>
        </w:tc>
      </w:tr>
      <w:tr w:rsidR="00721E74" w:rsidRPr="00721E74" w14:paraId="20829FCB" w14:textId="77777777" w:rsidTr="00721E74">
        <w:trPr>
          <w:trHeight w:hRule="exact" w:val="456"/>
        </w:trPr>
        <w:tc>
          <w:tcPr>
            <w:tcW w:w="4662" w:type="dxa"/>
            <w:tcBorders>
              <w:top w:val="nil"/>
              <w:bottom w:val="nil"/>
            </w:tcBorders>
          </w:tcPr>
          <w:p w14:paraId="08CEA337" w14:textId="77777777" w:rsidR="00721E74" w:rsidRPr="00721E74" w:rsidRDefault="00721E74" w:rsidP="00721E74">
            <w:pPr>
              <w:pStyle w:val="TableParagraph"/>
              <w:spacing w:before="151"/>
              <w:ind w:left="120"/>
              <w:rPr>
                <w:sz w:val="18"/>
                <w:szCs w:val="18"/>
              </w:rPr>
            </w:pPr>
            <w:r w:rsidRPr="00721E74">
              <w:rPr>
                <w:sz w:val="18"/>
                <w:szCs w:val="18"/>
              </w:rPr>
              <w:t>Person is spoken to once in a rude, insulting and</w:t>
            </w:r>
          </w:p>
        </w:tc>
        <w:tc>
          <w:tcPr>
            <w:tcW w:w="4640" w:type="dxa"/>
            <w:gridSpan w:val="2"/>
            <w:tcBorders>
              <w:top w:val="nil"/>
              <w:bottom w:val="nil"/>
            </w:tcBorders>
          </w:tcPr>
          <w:p w14:paraId="7A58174B" w14:textId="77777777" w:rsidR="00721E74" w:rsidRPr="00721E74" w:rsidRDefault="00721E74" w:rsidP="00721E74">
            <w:pPr>
              <w:pStyle w:val="TableParagraph"/>
              <w:spacing w:before="151"/>
              <w:ind w:left="88"/>
              <w:rPr>
                <w:sz w:val="18"/>
                <w:szCs w:val="18"/>
              </w:rPr>
            </w:pPr>
            <w:r w:rsidRPr="00721E74">
              <w:rPr>
                <w:sz w:val="18"/>
                <w:szCs w:val="18"/>
              </w:rPr>
              <w:t>Recurring event, or is happening to more than</w:t>
            </w:r>
          </w:p>
        </w:tc>
      </w:tr>
      <w:tr w:rsidR="00721E74" w:rsidRPr="00721E74" w14:paraId="3C1A2B9C" w14:textId="77777777" w:rsidTr="00721E74">
        <w:trPr>
          <w:trHeight w:hRule="exact" w:val="305"/>
        </w:trPr>
        <w:tc>
          <w:tcPr>
            <w:tcW w:w="4662" w:type="dxa"/>
            <w:tcBorders>
              <w:top w:val="nil"/>
              <w:bottom w:val="nil"/>
            </w:tcBorders>
          </w:tcPr>
          <w:p w14:paraId="4E38F8DA" w14:textId="77777777" w:rsidR="00721E74" w:rsidRPr="00721E74" w:rsidRDefault="0072444D" w:rsidP="00721E74">
            <w:pPr>
              <w:pStyle w:val="TableParagraph"/>
              <w:spacing w:line="264" w:lineRule="exact"/>
              <w:ind w:left="120"/>
              <w:rPr>
                <w:sz w:val="18"/>
                <w:szCs w:val="18"/>
              </w:rPr>
            </w:pPr>
            <w:r w:rsidRPr="00721E74">
              <w:rPr>
                <w:sz w:val="18"/>
                <w:szCs w:val="18"/>
              </w:rPr>
              <w:t>belittling or other inappropriate way by</w:t>
            </w:r>
            <w:r w:rsidR="00721E74" w:rsidRPr="00721E74">
              <w:rPr>
                <w:sz w:val="18"/>
                <w:szCs w:val="18"/>
              </w:rPr>
              <w:t xml:space="preserve"> a</w:t>
            </w:r>
          </w:p>
        </w:tc>
        <w:tc>
          <w:tcPr>
            <w:tcW w:w="4640" w:type="dxa"/>
            <w:gridSpan w:val="2"/>
            <w:tcBorders>
              <w:top w:val="nil"/>
              <w:bottom w:val="nil"/>
            </w:tcBorders>
          </w:tcPr>
          <w:p w14:paraId="7AAF8F52" w14:textId="77777777" w:rsidR="00721E74" w:rsidRPr="00721E74" w:rsidRDefault="00721E74" w:rsidP="00721E74">
            <w:pPr>
              <w:pStyle w:val="TableParagraph"/>
              <w:spacing w:line="264" w:lineRule="exact"/>
              <w:ind w:left="88"/>
              <w:rPr>
                <w:sz w:val="18"/>
                <w:szCs w:val="18"/>
              </w:rPr>
            </w:pPr>
            <w:r w:rsidRPr="00721E74">
              <w:rPr>
                <w:sz w:val="18"/>
                <w:szCs w:val="18"/>
              </w:rPr>
              <w:t>one person.  Insults contain discriminatory, e.g.</w:t>
            </w:r>
          </w:p>
        </w:tc>
      </w:tr>
      <w:tr w:rsidR="00721E74" w:rsidRPr="00721E74" w14:paraId="30936EBD" w14:textId="77777777" w:rsidTr="00721E74">
        <w:trPr>
          <w:trHeight w:hRule="exact" w:val="308"/>
        </w:trPr>
        <w:tc>
          <w:tcPr>
            <w:tcW w:w="4662" w:type="dxa"/>
            <w:tcBorders>
              <w:top w:val="nil"/>
              <w:bottom w:val="nil"/>
            </w:tcBorders>
          </w:tcPr>
          <w:p w14:paraId="5307CC06" w14:textId="77777777" w:rsidR="00721E74" w:rsidRPr="00721E74" w:rsidRDefault="00721E74" w:rsidP="00721E74">
            <w:pPr>
              <w:pStyle w:val="TableParagraph"/>
              <w:ind w:left="120"/>
              <w:rPr>
                <w:sz w:val="18"/>
                <w:szCs w:val="18"/>
              </w:rPr>
            </w:pPr>
            <w:r w:rsidRPr="00721E74">
              <w:rPr>
                <w:sz w:val="18"/>
                <w:szCs w:val="18"/>
              </w:rPr>
              <w:t>member of staff. Respect for them and their</w:t>
            </w:r>
          </w:p>
        </w:tc>
        <w:tc>
          <w:tcPr>
            <w:tcW w:w="2325" w:type="dxa"/>
            <w:tcBorders>
              <w:top w:val="nil"/>
              <w:bottom w:val="nil"/>
              <w:right w:val="nil"/>
            </w:tcBorders>
          </w:tcPr>
          <w:p w14:paraId="6D2ADF8A" w14:textId="77777777" w:rsidR="00721E74" w:rsidRPr="00721E74" w:rsidRDefault="00721E74" w:rsidP="00721E74">
            <w:pPr>
              <w:pStyle w:val="TableParagraph"/>
              <w:ind w:left="88"/>
              <w:rPr>
                <w:sz w:val="18"/>
                <w:szCs w:val="18"/>
              </w:rPr>
            </w:pPr>
            <w:r w:rsidRPr="00721E74">
              <w:rPr>
                <w:sz w:val="18"/>
                <w:szCs w:val="18"/>
              </w:rPr>
              <w:t>racist, homophobic abuse.</w:t>
            </w:r>
          </w:p>
        </w:tc>
        <w:tc>
          <w:tcPr>
            <w:tcW w:w="2315" w:type="dxa"/>
            <w:tcBorders>
              <w:top w:val="nil"/>
              <w:left w:val="nil"/>
              <w:bottom w:val="nil"/>
            </w:tcBorders>
          </w:tcPr>
          <w:p w14:paraId="20CE976A" w14:textId="77777777" w:rsidR="00721E74" w:rsidRPr="00721E74" w:rsidRDefault="00721E74" w:rsidP="00721E74">
            <w:pPr>
              <w:rPr>
                <w:rFonts w:ascii="Calibri" w:hAnsi="Calibri"/>
                <w:sz w:val="18"/>
                <w:szCs w:val="18"/>
              </w:rPr>
            </w:pPr>
          </w:p>
        </w:tc>
      </w:tr>
      <w:tr w:rsidR="00721E74" w:rsidRPr="00721E74" w14:paraId="11CFB35E" w14:textId="77777777" w:rsidTr="00EB47CD">
        <w:trPr>
          <w:trHeight w:hRule="exact" w:val="709"/>
        </w:trPr>
        <w:tc>
          <w:tcPr>
            <w:tcW w:w="4662" w:type="dxa"/>
            <w:tcBorders>
              <w:top w:val="nil"/>
            </w:tcBorders>
          </w:tcPr>
          <w:p w14:paraId="230C091A" w14:textId="77777777" w:rsidR="00721E74" w:rsidRPr="00721E74" w:rsidRDefault="0072444D" w:rsidP="00721E74">
            <w:pPr>
              <w:pStyle w:val="TableParagraph"/>
              <w:spacing w:line="268" w:lineRule="exact"/>
              <w:ind w:left="120"/>
              <w:rPr>
                <w:sz w:val="18"/>
                <w:szCs w:val="18"/>
              </w:rPr>
            </w:pPr>
            <w:r w:rsidRPr="00721E74">
              <w:rPr>
                <w:sz w:val="18"/>
                <w:szCs w:val="18"/>
              </w:rPr>
              <w:t>dignity is not maintained but they are</w:t>
            </w:r>
            <w:r w:rsidR="00721E74" w:rsidRPr="00721E74">
              <w:rPr>
                <w:sz w:val="18"/>
                <w:szCs w:val="18"/>
              </w:rPr>
              <w:t xml:space="preserve"> not</w:t>
            </w:r>
            <w:r w:rsidR="00AC6F43">
              <w:rPr>
                <w:sz w:val="18"/>
                <w:szCs w:val="18"/>
              </w:rPr>
              <w:t xml:space="preserve"> distressed</w:t>
            </w:r>
          </w:p>
        </w:tc>
        <w:tc>
          <w:tcPr>
            <w:tcW w:w="2325" w:type="dxa"/>
            <w:tcBorders>
              <w:top w:val="nil"/>
              <w:right w:val="nil"/>
            </w:tcBorders>
          </w:tcPr>
          <w:p w14:paraId="1FC5E604" w14:textId="77777777" w:rsidR="00721E74" w:rsidRPr="00721E74" w:rsidRDefault="00721E74" w:rsidP="00AC6F43">
            <w:pPr>
              <w:pStyle w:val="TableParagraph"/>
              <w:spacing w:line="268" w:lineRule="exact"/>
              <w:ind w:left="88"/>
              <w:rPr>
                <w:sz w:val="18"/>
                <w:szCs w:val="18"/>
              </w:rPr>
            </w:pPr>
            <w:r w:rsidRPr="00721E74">
              <w:rPr>
                <w:sz w:val="18"/>
                <w:szCs w:val="18"/>
              </w:rPr>
              <w:t xml:space="preserve">Harm:  distress, </w:t>
            </w:r>
            <w:r w:rsidR="0072444D">
              <w:rPr>
                <w:sz w:val="18"/>
                <w:szCs w:val="18"/>
              </w:rPr>
              <w:t>demoralization,</w:t>
            </w:r>
            <w:r w:rsidR="00AC6F43">
              <w:rPr>
                <w:sz w:val="18"/>
                <w:szCs w:val="18"/>
              </w:rPr>
              <w:t xml:space="preserve">  </w:t>
            </w:r>
          </w:p>
        </w:tc>
        <w:tc>
          <w:tcPr>
            <w:tcW w:w="2315" w:type="dxa"/>
            <w:tcBorders>
              <w:top w:val="nil"/>
              <w:left w:val="nil"/>
            </w:tcBorders>
          </w:tcPr>
          <w:p w14:paraId="0615EA71" w14:textId="77777777" w:rsidR="00721E74" w:rsidRPr="00721E74" w:rsidRDefault="00721E74" w:rsidP="00721E74">
            <w:pPr>
              <w:pStyle w:val="TableParagraph"/>
              <w:spacing w:line="268" w:lineRule="exact"/>
              <w:ind w:right="28"/>
              <w:jc w:val="right"/>
              <w:rPr>
                <w:sz w:val="18"/>
                <w:szCs w:val="18"/>
              </w:rPr>
            </w:pPr>
          </w:p>
        </w:tc>
      </w:tr>
    </w:tbl>
    <w:p w14:paraId="6820C71B" w14:textId="77777777" w:rsidR="00721E74" w:rsidRDefault="00721E74" w:rsidP="00721E74">
      <w:pPr>
        <w:spacing w:line="268" w:lineRule="exact"/>
        <w:jc w:val="right"/>
        <w:sectPr w:rsidR="00721E74" w:rsidSect="00AC6F43">
          <w:footerReference w:type="even" r:id="rId13"/>
          <w:footerReference w:type="default" r:id="rId14"/>
          <w:pgSz w:w="11910" w:h="16840"/>
          <w:pgMar w:top="1420" w:right="1180" w:bottom="1180" w:left="1180" w:header="0" w:footer="958" w:gutter="0"/>
          <w:cols w:space="720"/>
        </w:sect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62"/>
        <w:gridCol w:w="4640"/>
      </w:tblGrid>
      <w:tr w:rsidR="00721E74" w14:paraId="52D284F9" w14:textId="77777777" w:rsidTr="00721E74">
        <w:trPr>
          <w:trHeight w:hRule="exact" w:val="325"/>
        </w:trPr>
        <w:tc>
          <w:tcPr>
            <w:tcW w:w="4662" w:type="dxa"/>
            <w:vMerge w:val="restart"/>
          </w:tcPr>
          <w:p w14:paraId="4C834C39" w14:textId="77777777" w:rsidR="00721E74" w:rsidRPr="00AC6F43" w:rsidRDefault="00721E74" w:rsidP="00721E74">
            <w:pPr>
              <w:pStyle w:val="TableParagraph"/>
              <w:spacing w:before="6"/>
              <w:ind w:left="120"/>
              <w:rPr>
                <w:sz w:val="18"/>
                <w:szCs w:val="18"/>
              </w:rPr>
            </w:pPr>
          </w:p>
        </w:tc>
        <w:tc>
          <w:tcPr>
            <w:tcW w:w="4640" w:type="dxa"/>
            <w:tcBorders>
              <w:bottom w:val="nil"/>
            </w:tcBorders>
          </w:tcPr>
          <w:p w14:paraId="640FF262" w14:textId="77777777" w:rsidR="00721E74" w:rsidRPr="00AC6F43" w:rsidRDefault="00721E74" w:rsidP="00721E74">
            <w:pPr>
              <w:pStyle w:val="TableParagraph"/>
              <w:spacing w:before="6"/>
              <w:ind w:left="88"/>
              <w:rPr>
                <w:sz w:val="18"/>
                <w:szCs w:val="18"/>
              </w:rPr>
            </w:pPr>
            <w:r w:rsidRPr="00AC6F43">
              <w:rPr>
                <w:sz w:val="18"/>
                <w:szCs w:val="18"/>
              </w:rPr>
              <w:t>may be occurring as rights and dignity are not</w:t>
            </w:r>
          </w:p>
        </w:tc>
      </w:tr>
      <w:tr w:rsidR="00721E74" w14:paraId="545E1454" w14:textId="77777777" w:rsidTr="00721E74">
        <w:trPr>
          <w:trHeight w:hRule="exact" w:val="323"/>
        </w:trPr>
        <w:tc>
          <w:tcPr>
            <w:tcW w:w="4662" w:type="dxa"/>
            <w:vMerge/>
          </w:tcPr>
          <w:p w14:paraId="71442975" w14:textId="77777777" w:rsidR="00721E74" w:rsidRPr="00AC6F43" w:rsidRDefault="00721E74" w:rsidP="00721E74">
            <w:pPr>
              <w:rPr>
                <w:sz w:val="18"/>
                <w:szCs w:val="18"/>
              </w:rPr>
            </w:pPr>
          </w:p>
        </w:tc>
        <w:tc>
          <w:tcPr>
            <w:tcW w:w="4640" w:type="dxa"/>
            <w:tcBorders>
              <w:top w:val="nil"/>
            </w:tcBorders>
          </w:tcPr>
          <w:p w14:paraId="5EF76803" w14:textId="77777777" w:rsidR="00721E74" w:rsidRPr="00AC6F43" w:rsidRDefault="00721E74" w:rsidP="00721E74">
            <w:pPr>
              <w:pStyle w:val="TableParagraph"/>
              <w:ind w:left="88"/>
              <w:rPr>
                <w:sz w:val="18"/>
                <w:szCs w:val="18"/>
              </w:rPr>
            </w:pPr>
            <w:r w:rsidRPr="00AC6F43">
              <w:rPr>
                <w:sz w:val="18"/>
                <w:szCs w:val="18"/>
              </w:rPr>
              <w:t>respected.</w:t>
            </w:r>
          </w:p>
        </w:tc>
      </w:tr>
      <w:tr w:rsidR="00721E74" w14:paraId="4A2512A0" w14:textId="77777777" w:rsidTr="00721E74">
        <w:trPr>
          <w:trHeight w:hRule="exact" w:val="462"/>
        </w:trPr>
        <w:tc>
          <w:tcPr>
            <w:tcW w:w="4662" w:type="dxa"/>
            <w:tcBorders>
              <w:bottom w:val="nil"/>
            </w:tcBorders>
          </w:tcPr>
          <w:p w14:paraId="383EC12B" w14:textId="77777777" w:rsidR="00721E74" w:rsidRPr="00AC6F43" w:rsidRDefault="00721E74" w:rsidP="00721E74">
            <w:pPr>
              <w:pStyle w:val="TableParagraph"/>
              <w:spacing w:line="261" w:lineRule="exact"/>
              <w:ind w:left="120"/>
              <w:rPr>
                <w:b/>
                <w:sz w:val="18"/>
                <w:szCs w:val="18"/>
              </w:rPr>
            </w:pPr>
            <w:r w:rsidRPr="00AC6F43">
              <w:rPr>
                <w:b/>
                <w:sz w:val="18"/>
                <w:szCs w:val="18"/>
              </w:rPr>
              <w:t>Poor practice:</w:t>
            </w:r>
          </w:p>
        </w:tc>
        <w:tc>
          <w:tcPr>
            <w:tcW w:w="4640" w:type="dxa"/>
            <w:tcBorders>
              <w:bottom w:val="nil"/>
            </w:tcBorders>
          </w:tcPr>
          <w:p w14:paraId="5A85629D" w14:textId="77777777" w:rsidR="00721E74" w:rsidRPr="00AC6F43" w:rsidRDefault="00721E74" w:rsidP="00721E74">
            <w:pPr>
              <w:pStyle w:val="TableParagraph"/>
              <w:spacing w:line="261" w:lineRule="exact"/>
              <w:ind w:left="88"/>
              <w:rPr>
                <w:b/>
                <w:sz w:val="18"/>
                <w:szCs w:val="18"/>
              </w:rPr>
            </w:pPr>
            <w:r w:rsidRPr="00AC6F43">
              <w:rPr>
                <w:b/>
                <w:sz w:val="18"/>
                <w:szCs w:val="18"/>
              </w:rPr>
              <w:t>Possible abuse:</w:t>
            </w:r>
          </w:p>
        </w:tc>
      </w:tr>
      <w:tr w:rsidR="00721E74" w14:paraId="09047241" w14:textId="77777777" w:rsidTr="00721E74">
        <w:trPr>
          <w:trHeight w:hRule="exact" w:val="462"/>
        </w:trPr>
        <w:tc>
          <w:tcPr>
            <w:tcW w:w="4662" w:type="dxa"/>
            <w:tcBorders>
              <w:top w:val="nil"/>
              <w:bottom w:val="nil"/>
            </w:tcBorders>
          </w:tcPr>
          <w:p w14:paraId="0B486C0E" w14:textId="77777777" w:rsidR="00721E74" w:rsidRPr="00AC6F43" w:rsidRDefault="00721E74" w:rsidP="00721E74">
            <w:pPr>
              <w:pStyle w:val="TableParagraph"/>
              <w:spacing w:before="151"/>
              <w:ind w:left="120"/>
              <w:rPr>
                <w:sz w:val="18"/>
                <w:szCs w:val="18"/>
              </w:rPr>
            </w:pPr>
            <w:r w:rsidRPr="00AC6F43">
              <w:rPr>
                <w:sz w:val="18"/>
                <w:szCs w:val="18"/>
              </w:rPr>
              <w:t>Person does not receive a scheduled domiciliary</w:t>
            </w:r>
          </w:p>
        </w:tc>
        <w:tc>
          <w:tcPr>
            <w:tcW w:w="4640" w:type="dxa"/>
            <w:tcBorders>
              <w:top w:val="nil"/>
              <w:bottom w:val="nil"/>
            </w:tcBorders>
          </w:tcPr>
          <w:p w14:paraId="74660616" w14:textId="77777777" w:rsidR="00721E74" w:rsidRPr="00AC6F43" w:rsidRDefault="00721E74" w:rsidP="00721E74">
            <w:pPr>
              <w:pStyle w:val="TableParagraph"/>
              <w:spacing w:before="151"/>
              <w:ind w:left="88"/>
              <w:rPr>
                <w:sz w:val="18"/>
                <w:szCs w:val="18"/>
              </w:rPr>
            </w:pPr>
            <w:r w:rsidRPr="00AC6F43">
              <w:rPr>
                <w:sz w:val="18"/>
                <w:szCs w:val="18"/>
              </w:rPr>
              <w:t>Person does not receive scheduled domiciliary</w:t>
            </w:r>
          </w:p>
        </w:tc>
      </w:tr>
      <w:tr w:rsidR="00721E74" w14:paraId="229DE2FA" w14:textId="77777777" w:rsidTr="00721E74">
        <w:trPr>
          <w:trHeight w:hRule="exact" w:val="310"/>
        </w:trPr>
        <w:tc>
          <w:tcPr>
            <w:tcW w:w="4662" w:type="dxa"/>
            <w:tcBorders>
              <w:top w:val="nil"/>
              <w:bottom w:val="nil"/>
            </w:tcBorders>
          </w:tcPr>
          <w:p w14:paraId="0A9FEF9F" w14:textId="77777777" w:rsidR="00721E74" w:rsidRPr="00AC6F43" w:rsidRDefault="00721E74" w:rsidP="00721E74">
            <w:pPr>
              <w:pStyle w:val="TableParagraph"/>
              <w:spacing w:before="1"/>
              <w:ind w:left="120"/>
              <w:rPr>
                <w:sz w:val="18"/>
                <w:szCs w:val="18"/>
              </w:rPr>
            </w:pPr>
            <w:r w:rsidRPr="00AC6F43">
              <w:rPr>
                <w:sz w:val="18"/>
                <w:szCs w:val="18"/>
              </w:rPr>
              <w:t>care visit and no other contact is made to check</w:t>
            </w:r>
          </w:p>
        </w:tc>
        <w:tc>
          <w:tcPr>
            <w:tcW w:w="4640" w:type="dxa"/>
            <w:tcBorders>
              <w:top w:val="nil"/>
              <w:bottom w:val="nil"/>
            </w:tcBorders>
          </w:tcPr>
          <w:p w14:paraId="34B86F98" w14:textId="77777777" w:rsidR="00721E74" w:rsidRPr="00AC6F43" w:rsidRDefault="00721E74" w:rsidP="00721E74">
            <w:pPr>
              <w:pStyle w:val="TableParagraph"/>
              <w:spacing w:before="1"/>
              <w:ind w:left="88"/>
              <w:rPr>
                <w:sz w:val="18"/>
                <w:szCs w:val="18"/>
              </w:rPr>
            </w:pPr>
            <w:r w:rsidRPr="00AC6F43">
              <w:rPr>
                <w:sz w:val="18"/>
                <w:szCs w:val="18"/>
              </w:rPr>
              <w:t>care visit(s) and no other contact is made to</w:t>
            </w:r>
          </w:p>
        </w:tc>
      </w:tr>
      <w:tr w:rsidR="00721E74" w14:paraId="565449A9" w14:textId="77777777" w:rsidTr="00721E74">
        <w:trPr>
          <w:trHeight w:hRule="exact" w:val="308"/>
        </w:trPr>
        <w:tc>
          <w:tcPr>
            <w:tcW w:w="4662" w:type="dxa"/>
            <w:tcBorders>
              <w:top w:val="nil"/>
              <w:bottom w:val="nil"/>
            </w:tcBorders>
          </w:tcPr>
          <w:p w14:paraId="1E19529C" w14:textId="77777777" w:rsidR="00721E74" w:rsidRPr="00AC6F43" w:rsidRDefault="00721E74" w:rsidP="00721E74">
            <w:pPr>
              <w:pStyle w:val="TableParagraph"/>
              <w:spacing w:line="268" w:lineRule="exact"/>
              <w:ind w:left="120"/>
              <w:rPr>
                <w:sz w:val="18"/>
                <w:szCs w:val="18"/>
              </w:rPr>
            </w:pPr>
            <w:r w:rsidRPr="00AC6F43">
              <w:rPr>
                <w:sz w:val="18"/>
                <w:szCs w:val="18"/>
              </w:rPr>
              <w:t>on their well-being, but no harm occurs.</w:t>
            </w:r>
          </w:p>
        </w:tc>
        <w:tc>
          <w:tcPr>
            <w:tcW w:w="4640" w:type="dxa"/>
            <w:tcBorders>
              <w:top w:val="nil"/>
              <w:bottom w:val="nil"/>
            </w:tcBorders>
          </w:tcPr>
          <w:p w14:paraId="4C82F094" w14:textId="77777777" w:rsidR="00721E74" w:rsidRPr="00AC6F43" w:rsidRDefault="00721E74" w:rsidP="00721E74">
            <w:pPr>
              <w:pStyle w:val="TableParagraph"/>
              <w:spacing w:line="268" w:lineRule="exact"/>
              <w:ind w:left="88"/>
              <w:rPr>
                <w:sz w:val="18"/>
                <w:szCs w:val="18"/>
              </w:rPr>
            </w:pPr>
            <w:r w:rsidRPr="00AC6F43">
              <w:rPr>
                <w:sz w:val="18"/>
                <w:szCs w:val="18"/>
              </w:rPr>
              <w:t>check on their well-being or calls are being</w:t>
            </w:r>
          </w:p>
        </w:tc>
      </w:tr>
      <w:tr w:rsidR="00721E74" w14:paraId="04DBEAA6" w14:textId="77777777" w:rsidTr="00721E74">
        <w:trPr>
          <w:trHeight w:hRule="exact" w:val="463"/>
        </w:trPr>
        <w:tc>
          <w:tcPr>
            <w:tcW w:w="4662" w:type="dxa"/>
            <w:tcBorders>
              <w:top w:val="nil"/>
              <w:bottom w:val="nil"/>
            </w:tcBorders>
          </w:tcPr>
          <w:p w14:paraId="7A9AC7CF" w14:textId="77777777" w:rsidR="00721E74" w:rsidRPr="00AC6F43" w:rsidRDefault="00721E74" w:rsidP="00721E74">
            <w:pPr>
              <w:rPr>
                <w:sz w:val="18"/>
                <w:szCs w:val="18"/>
              </w:rPr>
            </w:pPr>
          </w:p>
        </w:tc>
        <w:tc>
          <w:tcPr>
            <w:tcW w:w="4640" w:type="dxa"/>
            <w:tcBorders>
              <w:top w:val="nil"/>
              <w:bottom w:val="nil"/>
            </w:tcBorders>
          </w:tcPr>
          <w:p w14:paraId="1EF0543A" w14:textId="77777777" w:rsidR="00721E74" w:rsidRPr="00AC6F43" w:rsidRDefault="00721E74" w:rsidP="00721E74">
            <w:pPr>
              <w:pStyle w:val="TableParagraph"/>
              <w:ind w:left="88"/>
              <w:rPr>
                <w:sz w:val="18"/>
                <w:szCs w:val="18"/>
              </w:rPr>
            </w:pPr>
            <w:r w:rsidRPr="00AC6F43">
              <w:rPr>
                <w:sz w:val="18"/>
                <w:szCs w:val="18"/>
              </w:rPr>
              <w:t>missed to more than one adult at risk.</w:t>
            </w:r>
          </w:p>
        </w:tc>
      </w:tr>
      <w:tr w:rsidR="00721E74" w14:paraId="53E2EC03" w14:textId="77777777" w:rsidTr="00721E74">
        <w:trPr>
          <w:trHeight w:hRule="exact" w:val="463"/>
        </w:trPr>
        <w:tc>
          <w:tcPr>
            <w:tcW w:w="4662" w:type="dxa"/>
            <w:tcBorders>
              <w:top w:val="nil"/>
              <w:bottom w:val="nil"/>
            </w:tcBorders>
          </w:tcPr>
          <w:p w14:paraId="03C590EA" w14:textId="77777777" w:rsidR="00721E74" w:rsidRPr="00AC6F43" w:rsidRDefault="00721E74" w:rsidP="00721E74">
            <w:pPr>
              <w:rPr>
                <w:sz w:val="18"/>
                <w:szCs w:val="18"/>
              </w:rPr>
            </w:pPr>
          </w:p>
        </w:tc>
        <w:tc>
          <w:tcPr>
            <w:tcW w:w="4640" w:type="dxa"/>
            <w:tcBorders>
              <w:top w:val="nil"/>
              <w:bottom w:val="nil"/>
            </w:tcBorders>
          </w:tcPr>
          <w:p w14:paraId="4D5513BC" w14:textId="77777777" w:rsidR="00721E74" w:rsidRPr="00AC6F43" w:rsidRDefault="00721E74" w:rsidP="00721E74">
            <w:pPr>
              <w:pStyle w:val="TableParagraph"/>
              <w:spacing w:before="154"/>
              <w:ind w:left="88"/>
              <w:rPr>
                <w:sz w:val="18"/>
                <w:szCs w:val="18"/>
              </w:rPr>
            </w:pPr>
            <w:r w:rsidRPr="00AC6F43">
              <w:rPr>
                <w:sz w:val="18"/>
                <w:szCs w:val="18"/>
              </w:rPr>
              <w:t>Harm: missed medication and meals, they are</w:t>
            </w:r>
          </w:p>
        </w:tc>
      </w:tr>
      <w:tr w:rsidR="00721E74" w14:paraId="293F823E" w14:textId="77777777" w:rsidTr="00721E74">
        <w:trPr>
          <w:trHeight w:hRule="exact" w:val="323"/>
        </w:trPr>
        <w:tc>
          <w:tcPr>
            <w:tcW w:w="4662" w:type="dxa"/>
            <w:tcBorders>
              <w:top w:val="nil"/>
            </w:tcBorders>
          </w:tcPr>
          <w:p w14:paraId="43850B54" w14:textId="77777777" w:rsidR="00721E74" w:rsidRPr="00AC6F43" w:rsidRDefault="00721E74" w:rsidP="00721E74">
            <w:pPr>
              <w:rPr>
                <w:sz w:val="18"/>
                <w:szCs w:val="18"/>
              </w:rPr>
            </w:pPr>
          </w:p>
        </w:tc>
        <w:tc>
          <w:tcPr>
            <w:tcW w:w="4640" w:type="dxa"/>
            <w:tcBorders>
              <w:top w:val="nil"/>
            </w:tcBorders>
          </w:tcPr>
          <w:p w14:paraId="62105FFE" w14:textId="77777777" w:rsidR="00721E74" w:rsidRPr="00AC6F43" w:rsidRDefault="00721E74" w:rsidP="00721E74">
            <w:pPr>
              <w:pStyle w:val="TableParagraph"/>
              <w:ind w:left="88"/>
              <w:rPr>
                <w:sz w:val="18"/>
                <w:szCs w:val="18"/>
              </w:rPr>
            </w:pPr>
            <w:r w:rsidRPr="00AC6F43">
              <w:rPr>
                <w:sz w:val="18"/>
                <w:szCs w:val="18"/>
              </w:rPr>
              <w:t>put at risk of significant harm including neglect.</w:t>
            </w:r>
          </w:p>
        </w:tc>
      </w:tr>
    </w:tbl>
    <w:p w14:paraId="04745EBE" w14:textId="77777777" w:rsidR="000512DD" w:rsidRPr="000512DD" w:rsidRDefault="000512DD" w:rsidP="00721E74">
      <w:pPr>
        <w:pStyle w:val="Heading1"/>
      </w:pPr>
      <w:r w:rsidRPr="000512DD">
        <w:t>Appendix 2 – References</w:t>
      </w:r>
    </w:p>
    <w:p w14:paraId="7F6346CF" w14:textId="77777777" w:rsidR="000512DD" w:rsidRDefault="00B51E4E" w:rsidP="00AC6F43">
      <w:pPr>
        <w:pStyle w:val="ListParagraph"/>
        <w:numPr>
          <w:ilvl w:val="0"/>
          <w:numId w:val="12"/>
        </w:numPr>
        <w:rPr>
          <w:rFonts w:ascii="Calibri" w:hAnsi="Calibri"/>
        </w:rPr>
      </w:pPr>
      <w:r w:rsidRPr="00AC6F43">
        <w:rPr>
          <w:rFonts w:ascii="Calibri" w:hAnsi="Calibri"/>
        </w:rPr>
        <w:t xml:space="preserve">Dorset CCG Safeguarding Adults Policy </w:t>
      </w:r>
    </w:p>
    <w:p w14:paraId="1EA05E59" w14:textId="77777777" w:rsidR="0089661E" w:rsidRPr="0089661E" w:rsidRDefault="0089661E" w:rsidP="0089661E">
      <w:pPr>
        <w:pStyle w:val="ListParagraph"/>
        <w:numPr>
          <w:ilvl w:val="0"/>
          <w:numId w:val="12"/>
        </w:numPr>
        <w:rPr>
          <w:rFonts w:ascii="Calibri" w:hAnsi="Calibri"/>
        </w:rPr>
      </w:pPr>
      <w:r w:rsidRPr="0089661E">
        <w:rPr>
          <w:rFonts w:ascii="Calibri" w:hAnsi="Calibri"/>
        </w:rPr>
        <w:t xml:space="preserve">Bournemouth, Dorset and Poole Multi-Agency Safeguarding Adults Policy </w:t>
      </w:r>
      <w:r>
        <w:rPr>
          <w:rFonts w:ascii="Calibri" w:hAnsi="Calibri"/>
        </w:rPr>
        <w:t xml:space="preserve">April 2015 </w:t>
      </w:r>
      <w:hyperlink r:id="rId15" w:history="1">
        <w:r w:rsidRPr="0089661E">
          <w:rPr>
            <w:rStyle w:val="Hyperlink"/>
            <w:rFonts w:ascii="Calibri" w:hAnsi="Calibri"/>
          </w:rPr>
          <w:t>http://www.bpsafeguardingadultsboard.com/uploads/7/4/8/9/74891967/final_bdp_sab_multi_agency_adult_safeguarding_policy_pdf_200415.pdf</w:t>
        </w:r>
      </w:hyperlink>
      <w:r w:rsidRPr="0089661E">
        <w:rPr>
          <w:rFonts w:ascii="Calibri" w:hAnsi="Calibri"/>
        </w:rPr>
        <w:t xml:space="preserve"> </w:t>
      </w:r>
    </w:p>
    <w:p w14:paraId="09504C95" w14:textId="77777777" w:rsidR="00295DEB" w:rsidRPr="00AC6F43" w:rsidRDefault="00295DEB" w:rsidP="00AC6F43">
      <w:pPr>
        <w:pStyle w:val="ListParagraph"/>
        <w:numPr>
          <w:ilvl w:val="0"/>
          <w:numId w:val="12"/>
        </w:numPr>
        <w:rPr>
          <w:rFonts w:ascii="Calibri" w:hAnsi="Calibri"/>
        </w:rPr>
      </w:pPr>
      <w:r>
        <w:rPr>
          <w:rFonts w:ascii="Calibri" w:hAnsi="Calibri"/>
        </w:rPr>
        <w:t xml:space="preserve">Care Act 2014 </w:t>
      </w:r>
    </w:p>
    <w:p w14:paraId="6896B835" w14:textId="77777777" w:rsidR="00B51E4E" w:rsidRPr="00AC6F43" w:rsidRDefault="009C6012" w:rsidP="00AC6F43">
      <w:pPr>
        <w:pStyle w:val="ListParagraph"/>
        <w:numPr>
          <w:ilvl w:val="0"/>
          <w:numId w:val="12"/>
        </w:numPr>
        <w:rPr>
          <w:rFonts w:ascii="Calibri" w:hAnsi="Calibri"/>
        </w:rPr>
      </w:pPr>
      <w:hyperlink r:id="rId16" w:history="1">
        <w:r w:rsidR="00B51E4E" w:rsidRPr="00AC6F43">
          <w:rPr>
            <w:rStyle w:val="Hyperlink"/>
            <w:rFonts w:ascii="Calibri" w:hAnsi="Calibri"/>
          </w:rPr>
          <w:t>http://www.dorsetccg.nhs.uk/Downloads/aboutus/Policies/Corporate/Safeguarding%20Adults%20procedure%20final%20%202016.pdf</w:t>
        </w:r>
      </w:hyperlink>
      <w:r w:rsidR="00B51E4E" w:rsidRPr="00AC6F43">
        <w:rPr>
          <w:rFonts w:ascii="Calibri" w:hAnsi="Calibri"/>
        </w:rPr>
        <w:t xml:space="preserve"> </w:t>
      </w:r>
    </w:p>
    <w:p w14:paraId="7925BF6A" w14:textId="77777777" w:rsidR="000512DD" w:rsidRPr="00AC6F43" w:rsidRDefault="000512DD" w:rsidP="00AC6F43">
      <w:pPr>
        <w:pStyle w:val="ListParagraph"/>
        <w:numPr>
          <w:ilvl w:val="0"/>
          <w:numId w:val="12"/>
        </w:numPr>
        <w:rPr>
          <w:rFonts w:ascii="Calibri" w:hAnsi="Calibri"/>
        </w:rPr>
      </w:pPr>
      <w:r w:rsidRPr="00AC6F43">
        <w:rPr>
          <w:rFonts w:ascii="Calibri" w:hAnsi="Calibri"/>
        </w:rPr>
        <w:t>Care Quality Commissions, Essential Standards http://www.cqc.org</w:t>
      </w:r>
      <w:r w:rsidR="00AC6F43" w:rsidRPr="00AC6F43">
        <w:rPr>
          <w:rFonts w:ascii="Calibri" w:hAnsi="Calibri"/>
        </w:rPr>
        <w:t>.uk/content/essential-standards</w:t>
      </w:r>
    </w:p>
    <w:p w14:paraId="382D3082" w14:textId="77777777" w:rsidR="000512DD" w:rsidRPr="00AC6F43" w:rsidRDefault="000512DD" w:rsidP="00AC6F43">
      <w:pPr>
        <w:pStyle w:val="ListParagraph"/>
        <w:numPr>
          <w:ilvl w:val="0"/>
          <w:numId w:val="12"/>
        </w:numPr>
        <w:rPr>
          <w:rFonts w:ascii="Calibri" w:hAnsi="Calibri"/>
        </w:rPr>
      </w:pPr>
      <w:r w:rsidRPr="00AC6F43">
        <w:rPr>
          <w:rFonts w:ascii="Calibri" w:hAnsi="Calibri"/>
        </w:rPr>
        <w:t>Clinical governance and adult safeguarding: an integrated process, Department of Health, Guidance for Healthcare https://www.gov.uk/government/uploads/system/uploads/attachment_data/file/215713/dh_12503 5.pdf</w:t>
      </w:r>
    </w:p>
    <w:p w14:paraId="38AAAD64" w14:textId="77777777" w:rsidR="000512DD" w:rsidRPr="00AC6F43" w:rsidRDefault="000512DD" w:rsidP="00AC6F43">
      <w:pPr>
        <w:pStyle w:val="ListParagraph"/>
        <w:numPr>
          <w:ilvl w:val="0"/>
          <w:numId w:val="12"/>
        </w:numPr>
        <w:rPr>
          <w:rFonts w:ascii="Calibri" w:hAnsi="Calibri"/>
        </w:rPr>
      </w:pPr>
      <w:r w:rsidRPr="00AC6F43">
        <w:rPr>
          <w:rFonts w:ascii="Calibri" w:hAnsi="Calibri"/>
        </w:rPr>
        <w:t>NHS and Community Care Act, 1990 http://www.legislatio</w:t>
      </w:r>
      <w:r w:rsidR="00AC6F43" w:rsidRPr="00AC6F43">
        <w:rPr>
          <w:rFonts w:ascii="Calibri" w:hAnsi="Calibri"/>
        </w:rPr>
        <w:t>n.gov.uk/ukpga/1990/19/contents</w:t>
      </w:r>
    </w:p>
    <w:p w14:paraId="06CA97B8" w14:textId="77777777" w:rsidR="000512DD" w:rsidRPr="00AC6F43" w:rsidRDefault="000512DD" w:rsidP="00AC6F43">
      <w:pPr>
        <w:pStyle w:val="ListParagraph"/>
        <w:numPr>
          <w:ilvl w:val="0"/>
          <w:numId w:val="12"/>
        </w:numPr>
        <w:rPr>
          <w:rFonts w:ascii="Calibri" w:hAnsi="Calibri"/>
        </w:rPr>
      </w:pPr>
      <w:r w:rsidRPr="00AC6F43">
        <w:rPr>
          <w:rFonts w:ascii="Calibri" w:hAnsi="Calibri"/>
        </w:rPr>
        <w:t>No Secrets, DH 2000 &amp; No Secrets Guidance, DH 2009 https://www.gov.uk/government/publications/no-secrets-guidance-on-protecting-vulnerable- adults-in-care</w:t>
      </w:r>
    </w:p>
    <w:p w14:paraId="252B1EC6" w14:textId="77777777" w:rsidR="000512DD" w:rsidRPr="00AC6F43" w:rsidRDefault="000512DD" w:rsidP="00AC6F43">
      <w:pPr>
        <w:pStyle w:val="ListParagraph"/>
        <w:numPr>
          <w:ilvl w:val="0"/>
          <w:numId w:val="12"/>
        </w:numPr>
        <w:rPr>
          <w:rFonts w:ascii="Calibri" w:hAnsi="Calibri"/>
        </w:rPr>
      </w:pPr>
      <w:r w:rsidRPr="00AC6F43">
        <w:rPr>
          <w:rFonts w:ascii="Calibri" w:hAnsi="Calibri"/>
        </w:rPr>
        <w:t>SCIE Adult Safeguarding: Policy and procedure http://www.scie.org.uk/pu</w:t>
      </w:r>
      <w:r w:rsidR="00AC6F43" w:rsidRPr="00AC6F43">
        <w:rPr>
          <w:rFonts w:ascii="Calibri" w:hAnsi="Calibri"/>
        </w:rPr>
        <w:t>blications/reports/report39.pdf</w:t>
      </w:r>
    </w:p>
    <w:p w14:paraId="02485CDD" w14:textId="77777777" w:rsidR="000512DD" w:rsidRPr="00AC6F43" w:rsidRDefault="000512DD" w:rsidP="00AC6F43">
      <w:pPr>
        <w:pStyle w:val="ListParagraph"/>
        <w:numPr>
          <w:ilvl w:val="0"/>
          <w:numId w:val="12"/>
        </w:numPr>
        <w:rPr>
          <w:rFonts w:ascii="Calibri" w:hAnsi="Calibri"/>
        </w:rPr>
      </w:pPr>
      <w:r w:rsidRPr="00AC6F43">
        <w:rPr>
          <w:rFonts w:ascii="Calibri" w:hAnsi="Calibri"/>
        </w:rPr>
        <w:t>Who Decides, Lord Chancellor’s Department 1997 http://webarchive.nationalarchives.gov.uk/+/http:/www.dca.gov.uk/menincap/meninfr.htm</w:t>
      </w:r>
    </w:p>
    <w:p w14:paraId="2D1F2FFA" w14:textId="77777777" w:rsidR="000512DD" w:rsidRPr="00AC6F43" w:rsidRDefault="000512DD" w:rsidP="00AC6F43">
      <w:pPr>
        <w:pStyle w:val="ListParagraph"/>
        <w:numPr>
          <w:ilvl w:val="0"/>
          <w:numId w:val="12"/>
        </w:numPr>
        <w:rPr>
          <w:rFonts w:ascii="Calibri" w:hAnsi="Calibri"/>
        </w:rPr>
      </w:pPr>
      <w:r w:rsidRPr="00AC6F43">
        <w:rPr>
          <w:rFonts w:ascii="Calibri" w:hAnsi="Calibri"/>
        </w:rPr>
        <w:t>Mental Capacity Act 2005 http://www.legislati</w:t>
      </w:r>
      <w:r w:rsidR="00AC6F43" w:rsidRPr="00AC6F43">
        <w:rPr>
          <w:rFonts w:ascii="Calibri" w:hAnsi="Calibri"/>
        </w:rPr>
        <w:t>on.gov.uk/ukpga/2005/9/contents</w:t>
      </w:r>
    </w:p>
    <w:p w14:paraId="20804B50" w14:textId="77777777" w:rsidR="000512DD" w:rsidRPr="00AC6F43" w:rsidRDefault="000512DD" w:rsidP="00AC6F43">
      <w:pPr>
        <w:pStyle w:val="ListParagraph"/>
        <w:numPr>
          <w:ilvl w:val="0"/>
          <w:numId w:val="12"/>
        </w:numPr>
        <w:rPr>
          <w:rFonts w:ascii="Calibri" w:hAnsi="Calibri"/>
        </w:rPr>
      </w:pPr>
      <w:r w:rsidRPr="00AC6F43">
        <w:rPr>
          <w:rFonts w:ascii="Calibri" w:hAnsi="Calibri"/>
        </w:rPr>
        <w:t>Deprivation of Liberty Safeguards https://www.gov.uk/government/publications/mental- capacity-act-deprivation-of-liberty-safeguards</w:t>
      </w:r>
    </w:p>
    <w:p w14:paraId="65656082" w14:textId="2C8F1D9C" w:rsidR="00EC03D2" w:rsidRPr="000512DD" w:rsidRDefault="00EC03D2" w:rsidP="00A4719D">
      <w:pPr>
        <w:rPr>
          <w:rFonts w:ascii="Calibri" w:hAnsi="Calibri"/>
        </w:rPr>
      </w:pPr>
      <w:r w:rsidRPr="000512DD">
        <w:rPr>
          <w:rFonts w:ascii="Calibri" w:hAnsi="Calibri"/>
        </w:rPr>
        <w:tab/>
      </w:r>
    </w:p>
    <w:sectPr w:rsidR="00EC03D2" w:rsidRPr="000512DD">
      <w:headerReference w:type="even" r:id="rId17"/>
      <w:headerReference w:type="default" r:id="rId18"/>
      <w:footerReference w:type="default" r:id="rId19"/>
      <w:headerReference w:type="first" r:id="rId2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71E53" w14:textId="77777777" w:rsidR="009C6012" w:rsidRDefault="009C6012">
      <w:pPr>
        <w:spacing w:after="0" w:line="240" w:lineRule="auto"/>
      </w:pPr>
      <w:r>
        <w:separator/>
      </w:r>
    </w:p>
  </w:endnote>
  <w:endnote w:type="continuationSeparator" w:id="0">
    <w:p w14:paraId="2EB52ADC" w14:textId="77777777" w:rsidR="009C6012" w:rsidRDefault="009C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514E7" w14:textId="77777777" w:rsidR="00FC4121" w:rsidRDefault="009C6012">
    <w:pPr>
      <w:pStyle w:val="Footer"/>
    </w:pPr>
    <w:sdt>
      <w:sdtPr>
        <w:id w:val="969400743"/>
        <w:placeholder>
          <w:docPart w:val="BC163FE5B3FAA04CBA9B2C0A05A33435"/>
        </w:placeholder>
        <w:temporary/>
        <w:showingPlcHdr/>
      </w:sdtPr>
      <w:sdtEndPr/>
      <w:sdtContent>
        <w:r w:rsidR="00FC4121">
          <w:t>[Type text]</w:t>
        </w:r>
      </w:sdtContent>
    </w:sdt>
    <w:r w:rsidR="00FC4121">
      <w:ptab w:relativeTo="margin" w:alignment="center" w:leader="none"/>
    </w:r>
    <w:sdt>
      <w:sdtPr>
        <w:id w:val="969400748"/>
        <w:placeholder>
          <w:docPart w:val="FBFDAE0DD3AA844183A5863223EAD624"/>
        </w:placeholder>
        <w:temporary/>
        <w:showingPlcHdr/>
      </w:sdtPr>
      <w:sdtEndPr/>
      <w:sdtContent>
        <w:r w:rsidR="00FC4121">
          <w:t>[Type text]</w:t>
        </w:r>
      </w:sdtContent>
    </w:sdt>
    <w:r w:rsidR="00FC4121">
      <w:ptab w:relativeTo="margin" w:alignment="right" w:leader="none"/>
    </w:r>
    <w:sdt>
      <w:sdtPr>
        <w:id w:val="969400753"/>
        <w:placeholder>
          <w:docPart w:val="0E6D67319E18BC49B5B40644D938D165"/>
        </w:placeholder>
        <w:temporary/>
        <w:showingPlcHdr/>
      </w:sdtPr>
      <w:sdtEndPr/>
      <w:sdtContent>
        <w:r w:rsidR="00FC412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166835"/>
      <w:docPartObj>
        <w:docPartGallery w:val="Page Numbers (Bottom of Page)"/>
        <w:docPartUnique/>
      </w:docPartObj>
    </w:sdtPr>
    <w:sdtEndPr/>
    <w:sdtContent>
      <w:sdt>
        <w:sdtPr>
          <w:id w:val="-1689987093"/>
          <w:docPartObj>
            <w:docPartGallery w:val="Page Numbers (Top of Page)"/>
            <w:docPartUnique/>
          </w:docPartObj>
        </w:sdtPr>
        <w:sdtEndPr/>
        <w:sdtContent>
          <w:p w14:paraId="1B0494E8" w14:textId="43AD9DCE" w:rsidR="00FC4121" w:rsidRDefault="00FC4121" w:rsidP="00312772">
            <w:pPr>
              <w:pStyle w:val="Footer"/>
              <w:jc w:val="center"/>
            </w:pPr>
            <w:r>
              <w:t xml:space="preserve">  Safeguarding Adults at Risk Policy </w:t>
            </w:r>
            <w:r w:rsidR="00194095">
              <w:t>April</w:t>
            </w:r>
            <w:r>
              <w:t xml:space="preserve"> 17 Castleman Healthcare Ltd - Page </w:t>
            </w:r>
            <w:r>
              <w:rPr>
                <w:b/>
                <w:bCs/>
                <w:sz w:val="24"/>
                <w:szCs w:val="24"/>
              </w:rPr>
              <w:fldChar w:fldCharType="begin"/>
            </w:r>
            <w:r>
              <w:rPr>
                <w:b/>
                <w:bCs/>
              </w:rPr>
              <w:instrText xml:space="preserve"> PAGE </w:instrText>
            </w:r>
            <w:r>
              <w:rPr>
                <w:b/>
                <w:bCs/>
                <w:sz w:val="24"/>
                <w:szCs w:val="24"/>
              </w:rPr>
              <w:fldChar w:fldCharType="separate"/>
            </w:r>
            <w:r w:rsidR="00194095">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94095">
              <w:rPr>
                <w:b/>
                <w:bCs/>
                <w:noProof/>
              </w:rPr>
              <w:t>10</w:t>
            </w:r>
            <w:r>
              <w:rPr>
                <w:b/>
                <w:bCs/>
                <w:sz w:val="24"/>
                <w:szCs w:val="24"/>
              </w:rPr>
              <w:fldChar w:fldCharType="end"/>
            </w:r>
          </w:p>
        </w:sdtContent>
      </w:sdt>
    </w:sdtContent>
  </w:sdt>
  <w:p w14:paraId="19D13CBC" w14:textId="77777777" w:rsidR="00FC4121" w:rsidRPr="00312772" w:rsidRDefault="00FC4121" w:rsidP="003127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2800796"/>
      <w:docPartObj>
        <w:docPartGallery w:val="Page Numbers (Bottom of Page)"/>
        <w:docPartUnique/>
      </w:docPartObj>
    </w:sdtPr>
    <w:sdtEndPr/>
    <w:sdtContent>
      <w:sdt>
        <w:sdtPr>
          <w:id w:val="1728636285"/>
          <w:docPartObj>
            <w:docPartGallery w:val="Page Numbers (Top of Page)"/>
            <w:docPartUnique/>
          </w:docPartObj>
        </w:sdtPr>
        <w:sdtEndPr/>
        <w:sdtContent>
          <w:p w14:paraId="15A74034" w14:textId="0E03DC05" w:rsidR="00FC4121" w:rsidRDefault="00FC4121">
            <w:pPr>
              <w:pStyle w:val="Footer"/>
              <w:jc w:val="center"/>
            </w:pPr>
            <w:r>
              <w:t xml:space="preserve">  Safeguarding Adults at Risk Policy Sept 16 Castleman Healthcare Ltd - Page </w:t>
            </w:r>
            <w:r>
              <w:rPr>
                <w:b/>
                <w:bCs/>
                <w:sz w:val="24"/>
                <w:szCs w:val="24"/>
              </w:rPr>
              <w:fldChar w:fldCharType="begin"/>
            </w:r>
            <w:r>
              <w:rPr>
                <w:b/>
                <w:bCs/>
              </w:rPr>
              <w:instrText xml:space="preserve"> PAGE </w:instrText>
            </w:r>
            <w:r>
              <w:rPr>
                <w:b/>
                <w:bCs/>
                <w:sz w:val="24"/>
                <w:szCs w:val="24"/>
              </w:rPr>
              <w:fldChar w:fldCharType="separate"/>
            </w:r>
            <w:r w:rsidR="00194095">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94095">
              <w:rPr>
                <w:b/>
                <w:bCs/>
                <w:noProof/>
              </w:rPr>
              <w:t>10</w:t>
            </w:r>
            <w:r>
              <w:rPr>
                <w:b/>
                <w:bCs/>
                <w:sz w:val="24"/>
                <w:szCs w:val="24"/>
              </w:rPr>
              <w:fldChar w:fldCharType="end"/>
            </w:r>
          </w:p>
        </w:sdtContent>
      </w:sdt>
    </w:sdtContent>
  </w:sdt>
  <w:p w14:paraId="4C56BA78" w14:textId="77777777" w:rsidR="00FC4121" w:rsidRDefault="00FC4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091D4" w14:textId="77777777" w:rsidR="009C6012" w:rsidRDefault="009C6012">
      <w:pPr>
        <w:spacing w:after="0" w:line="240" w:lineRule="auto"/>
      </w:pPr>
      <w:r>
        <w:separator/>
      </w:r>
    </w:p>
  </w:footnote>
  <w:footnote w:type="continuationSeparator" w:id="0">
    <w:p w14:paraId="482683F8" w14:textId="77777777" w:rsidR="009C6012" w:rsidRDefault="009C6012">
      <w:pPr>
        <w:spacing w:after="0" w:line="240" w:lineRule="auto"/>
      </w:pPr>
      <w:r>
        <w:continuationSeparator/>
      </w:r>
    </w:p>
  </w:footnote>
  <w:footnote w:id="1">
    <w:p w14:paraId="6996F764" w14:textId="77777777" w:rsidR="00FC4121" w:rsidRPr="00662F95" w:rsidRDefault="00FC4121" w:rsidP="00662F95">
      <w:pPr>
        <w:pStyle w:val="FootnoteText"/>
        <w:rPr>
          <w:rStyle w:val="FootnoteReference"/>
          <w:rFonts w:ascii="Calibri" w:hAnsi="Calibri" w:cs="Calibri"/>
          <w:sz w:val="24"/>
          <w:szCs w:val="24"/>
        </w:rPr>
      </w:pPr>
      <w:r w:rsidRPr="00662F95">
        <w:rPr>
          <w:rStyle w:val="FootnoteReference"/>
          <w:rFonts w:ascii="Calibri" w:hAnsi="Calibri" w:cs="Calibri"/>
          <w:sz w:val="24"/>
          <w:szCs w:val="24"/>
        </w:rPr>
        <w:footnoteRef/>
      </w:r>
      <w:r w:rsidRPr="00662F95">
        <w:rPr>
          <w:rStyle w:val="FootnoteReference"/>
          <w:rFonts w:ascii="Calibri" w:hAnsi="Calibri" w:cs="Calibri"/>
          <w:sz w:val="24"/>
          <w:szCs w:val="24"/>
        </w:rPr>
        <w:t xml:space="preserve"> </w:t>
      </w:r>
      <w:hyperlink r:id="rId1" w:anchor="safeguarding-1" w:history="1">
        <w:r w:rsidRPr="00662F95">
          <w:rPr>
            <w:rStyle w:val="FootnoteReference"/>
            <w:rFonts w:ascii="Calibri" w:hAnsi="Calibri" w:cs="Calibri"/>
            <w:sz w:val="24"/>
            <w:szCs w:val="24"/>
          </w:rPr>
          <w:t>https://www.gov.uk/government/publications/care-act-statutory-guidance/care-and-support-statutory-guidance#safeguarding-1</w:t>
        </w:r>
      </w:hyperlink>
    </w:p>
    <w:p w14:paraId="5F9DAD1D" w14:textId="77777777" w:rsidR="00FC4121" w:rsidRPr="00662F95" w:rsidRDefault="00FC4121" w:rsidP="008524FB">
      <w:pPr>
        <w:pStyle w:val="FootnoteText"/>
        <w:rPr>
          <w:rStyle w:val="FootnoteReference"/>
          <w:rFonts w:ascii="Calibri" w:hAnsi="Calibri" w:cs="Calibri"/>
          <w:sz w:val="24"/>
          <w:szCs w:val="24"/>
        </w:rPr>
      </w:pPr>
    </w:p>
  </w:footnote>
  <w:footnote w:id="2">
    <w:p w14:paraId="3F07200E" w14:textId="77777777" w:rsidR="00FC4121" w:rsidRPr="00662F95" w:rsidRDefault="00FC4121">
      <w:pPr>
        <w:pStyle w:val="FootnoteText"/>
        <w:rPr>
          <w:rStyle w:val="FootnoteReference"/>
          <w:rFonts w:ascii="Calibri" w:hAnsi="Calibri" w:cs="Calibri"/>
          <w:sz w:val="24"/>
          <w:szCs w:val="24"/>
        </w:rPr>
      </w:pPr>
      <w:r w:rsidRPr="00662F95">
        <w:rPr>
          <w:rStyle w:val="FootnoteReference"/>
          <w:rFonts w:ascii="Calibri" w:hAnsi="Calibri" w:cs="Calibri"/>
          <w:sz w:val="24"/>
          <w:szCs w:val="24"/>
        </w:rPr>
        <w:footnoteRef/>
      </w:r>
      <w:r w:rsidRPr="00662F95">
        <w:rPr>
          <w:rStyle w:val="FootnoteReference"/>
          <w:rFonts w:ascii="Calibri" w:hAnsi="Calibri" w:cs="Calibri"/>
          <w:sz w:val="24"/>
          <w:szCs w:val="24"/>
        </w:rPr>
        <w:t xml:space="preserve"> </w:t>
      </w:r>
      <w:hyperlink r:id="rId2" w:anchor="safeguarding-1" w:history="1">
        <w:r w:rsidRPr="00662F95">
          <w:rPr>
            <w:rStyle w:val="FootnoteReference"/>
            <w:rFonts w:ascii="Calibri" w:hAnsi="Calibri" w:cs="Calibri"/>
            <w:sz w:val="24"/>
            <w:szCs w:val="24"/>
          </w:rPr>
          <w:t>https://www.gov.uk/government/publications/care-act-statutory-guidance/care-and-support-statutory-guidance#safeguarding-1</w:t>
        </w:r>
      </w:hyperlink>
    </w:p>
  </w:footnote>
  <w:footnote w:id="3">
    <w:p w14:paraId="28C189B0" w14:textId="2A33DC46" w:rsidR="00FC4121" w:rsidRDefault="00FC4121">
      <w:pPr>
        <w:pStyle w:val="FootnoteText"/>
      </w:pPr>
      <w:r>
        <w:rPr>
          <w:rStyle w:val="FootnoteReference"/>
        </w:rPr>
        <w:footnoteRef/>
      </w:r>
      <w:r>
        <w:t xml:space="preserve"> </w:t>
      </w:r>
      <w:hyperlink r:id="rId3" w:history="1">
        <w:r w:rsidRPr="00662F95">
          <w:rPr>
            <w:rStyle w:val="FootnoteReference"/>
            <w:rFonts w:ascii="Calibri" w:hAnsi="Calibri" w:cs="Calibri"/>
            <w:sz w:val="24"/>
            <w:szCs w:val="24"/>
          </w:rPr>
          <w:t>http://www.bpsafeguardingadultsboard.com</w:t>
        </w:r>
      </w:hyperlink>
      <w:r w:rsidRPr="00662F95">
        <w:rPr>
          <w:rStyle w:val="FootnoteReference"/>
          <w:rFonts w:ascii="Calibri" w:hAnsi="Calibri" w:cs="Calibri"/>
          <w:sz w:val="24"/>
          <w:szCs w:val="24"/>
        </w:rPr>
        <w:t xml:space="preserve"> </w:t>
      </w:r>
      <w:hyperlink r:id="rId4" w:history="1">
        <w:r w:rsidRPr="00662F95">
          <w:rPr>
            <w:rStyle w:val="FootnoteReference"/>
            <w:rFonts w:ascii="Calibri" w:hAnsi="Calibri" w:cs="Calibri"/>
            <w:sz w:val="24"/>
            <w:szCs w:val="24"/>
          </w:rPr>
          <w:t>https://www.dorsetforyou.gov.uk/dorsetsafeguardingadultsboard</w:t>
        </w:r>
      </w:hyperlink>
    </w:p>
  </w:footnote>
  <w:footnote w:id="4">
    <w:p w14:paraId="0F82B274" w14:textId="77777777" w:rsidR="00FC4121" w:rsidRDefault="00FC4121" w:rsidP="00284D6B">
      <w:pPr>
        <w:pStyle w:val="FootnoteText"/>
      </w:pPr>
      <w:r>
        <w:rPr>
          <w:rStyle w:val="FootnoteReference"/>
        </w:rPr>
        <w:footnoteRef/>
      </w:r>
      <w:r>
        <w:t xml:space="preserve"> </w:t>
      </w:r>
      <w:r>
        <w:rPr>
          <w:rStyle w:val="FootnoteReference"/>
        </w:rPr>
        <w:footnoteRef/>
      </w:r>
      <w:r>
        <w:t xml:space="preserve"> </w:t>
      </w:r>
      <w:hyperlink r:id="rId5" w:history="1">
        <w:r w:rsidRPr="006C241E">
          <w:rPr>
            <w:rStyle w:val="Hyperlink"/>
          </w:rPr>
          <w:t>http://www.nhs.uk/Conditions/social-care-and-support-guide/Pages/mental-capacity.aspx</w:t>
        </w:r>
      </w:hyperlink>
      <w:r>
        <w:t xml:space="preserve"> </w:t>
      </w:r>
    </w:p>
    <w:p w14:paraId="08778B27" w14:textId="4EFC223B" w:rsidR="00FC4121" w:rsidRDefault="00FC4121">
      <w:pPr>
        <w:pStyle w:val="FootnoteText"/>
      </w:pPr>
    </w:p>
  </w:footnote>
  <w:footnote w:id="5">
    <w:p w14:paraId="6DA7E568" w14:textId="30582D0D" w:rsidR="00FC4121" w:rsidRDefault="00FC4121">
      <w:pPr>
        <w:pStyle w:val="FootnoteText"/>
      </w:pPr>
      <w:r>
        <w:rPr>
          <w:rStyle w:val="FootnoteReference"/>
        </w:rPr>
        <w:footnoteRef/>
      </w:r>
      <w:r>
        <w:t xml:space="preserve"> </w:t>
      </w:r>
      <w:hyperlink r:id="rId6" w:history="1">
        <w:r w:rsidRPr="006C241E">
          <w:rPr>
            <w:rStyle w:val="Hyperlink"/>
          </w:rPr>
          <w:t>http://www.nhs.uk/Conditions/social-care-and-support-guide/Pages/mental-capacity.aspx</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C12C7" w14:textId="77777777" w:rsidR="00FC4121" w:rsidRDefault="00FC41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C15E1" w14:textId="77777777" w:rsidR="00FC4121" w:rsidRDefault="00FC41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FE85D" w14:textId="77777777" w:rsidR="00FC4121" w:rsidRDefault="00FC41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E5D"/>
    <w:multiLevelType w:val="hybridMultilevel"/>
    <w:tmpl w:val="C382D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A12F6C"/>
    <w:multiLevelType w:val="hybridMultilevel"/>
    <w:tmpl w:val="F926B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463557"/>
    <w:multiLevelType w:val="multilevel"/>
    <w:tmpl w:val="11F06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6E4724"/>
    <w:multiLevelType w:val="hybridMultilevel"/>
    <w:tmpl w:val="FDB006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9C21F12"/>
    <w:multiLevelType w:val="multilevel"/>
    <w:tmpl w:val="446EA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88232B"/>
    <w:multiLevelType w:val="hybridMultilevel"/>
    <w:tmpl w:val="BCDCD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F750E9"/>
    <w:multiLevelType w:val="hybridMultilevel"/>
    <w:tmpl w:val="98DCB6D4"/>
    <w:lvl w:ilvl="0" w:tplc="9B28F4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B033DC"/>
    <w:multiLevelType w:val="hybridMultilevel"/>
    <w:tmpl w:val="38765C0A"/>
    <w:lvl w:ilvl="0" w:tplc="08090019">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32E73DD"/>
    <w:multiLevelType w:val="hybridMultilevel"/>
    <w:tmpl w:val="0206D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C923DB"/>
    <w:multiLevelType w:val="multilevel"/>
    <w:tmpl w:val="69E62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357CCD"/>
    <w:multiLevelType w:val="hybridMultilevel"/>
    <w:tmpl w:val="1954F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FD0048"/>
    <w:multiLevelType w:val="hybridMultilevel"/>
    <w:tmpl w:val="0206D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FF3A24"/>
    <w:multiLevelType w:val="hybridMultilevel"/>
    <w:tmpl w:val="61321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BD799A"/>
    <w:multiLevelType w:val="hybridMultilevel"/>
    <w:tmpl w:val="ABE62A3E"/>
    <w:lvl w:ilvl="0" w:tplc="9B28F4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3833A0"/>
    <w:multiLevelType w:val="multilevel"/>
    <w:tmpl w:val="87565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E16077"/>
    <w:multiLevelType w:val="hybridMultilevel"/>
    <w:tmpl w:val="752C72C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5B27BE9"/>
    <w:multiLevelType w:val="hybridMultilevel"/>
    <w:tmpl w:val="E3945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3A58E9"/>
    <w:multiLevelType w:val="hybridMultilevel"/>
    <w:tmpl w:val="65E454BA"/>
    <w:lvl w:ilvl="0" w:tplc="DA44E76A">
      <w:start w:val="1"/>
      <w:numFmt w:val="bullet"/>
      <w:lvlText w:val=""/>
      <w:lvlJc w:val="left"/>
      <w:pPr>
        <w:ind w:left="681" w:hanging="202"/>
      </w:pPr>
      <w:rPr>
        <w:rFonts w:ascii="Symbol" w:eastAsia="Symbol" w:hAnsi="Symbol" w:cs="Symbol" w:hint="default"/>
        <w:w w:val="100"/>
        <w:sz w:val="22"/>
        <w:szCs w:val="22"/>
      </w:rPr>
    </w:lvl>
    <w:lvl w:ilvl="1" w:tplc="7BAE375E">
      <w:start w:val="1"/>
      <w:numFmt w:val="bullet"/>
      <w:lvlText w:val="•"/>
      <w:lvlJc w:val="left"/>
      <w:pPr>
        <w:ind w:left="1076" w:hanging="202"/>
      </w:pPr>
      <w:rPr>
        <w:rFonts w:hint="default"/>
      </w:rPr>
    </w:lvl>
    <w:lvl w:ilvl="2" w:tplc="63D6889C">
      <w:start w:val="1"/>
      <w:numFmt w:val="bullet"/>
      <w:lvlText w:val="•"/>
      <w:lvlJc w:val="left"/>
      <w:pPr>
        <w:ind w:left="1472" w:hanging="202"/>
      </w:pPr>
      <w:rPr>
        <w:rFonts w:hint="default"/>
      </w:rPr>
    </w:lvl>
    <w:lvl w:ilvl="3" w:tplc="31865AC8">
      <w:start w:val="1"/>
      <w:numFmt w:val="bullet"/>
      <w:lvlText w:val="•"/>
      <w:lvlJc w:val="left"/>
      <w:pPr>
        <w:ind w:left="1868" w:hanging="202"/>
      </w:pPr>
      <w:rPr>
        <w:rFonts w:hint="default"/>
      </w:rPr>
    </w:lvl>
    <w:lvl w:ilvl="4" w:tplc="26F4D99E">
      <w:start w:val="1"/>
      <w:numFmt w:val="bullet"/>
      <w:lvlText w:val="•"/>
      <w:lvlJc w:val="left"/>
      <w:pPr>
        <w:ind w:left="2265" w:hanging="202"/>
      </w:pPr>
      <w:rPr>
        <w:rFonts w:hint="default"/>
      </w:rPr>
    </w:lvl>
    <w:lvl w:ilvl="5" w:tplc="34D0A114">
      <w:start w:val="1"/>
      <w:numFmt w:val="bullet"/>
      <w:lvlText w:val="•"/>
      <w:lvlJc w:val="left"/>
      <w:pPr>
        <w:ind w:left="2661" w:hanging="202"/>
      </w:pPr>
      <w:rPr>
        <w:rFonts w:hint="default"/>
      </w:rPr>
    </w:lvl>
    <w:lvl w:ilvl="6" w:tplc="F6F00DA2">
      <w:start w:val="1"/>
      <w:numFmt w:val="bullet"/>
      <w:lvlText w:val="•"/>
      <w:lvlJc w:val="left"/>
      <w:pPr>
        <w:ind w:left="3057" w:hanging="202"/>
      </w:pPr>
      <w:rPr>
        <w:rFonts w:hint="default"/>
      </w:rPr>
    </w:lvl>
    <w:lvl w:ilvl="7" w:tplc="6F162756">
      <w:start w:val="1"/>
      <w:numFmt w:val="bullet"/>
      <w:lvlText w:val="•"/>
      <w:lvlJc w:val="left"/>
      <w:pPr>
        <w:ind w:left="3453" w:hanging="202"/>
      </w:pPr>
      <w:rPr>
        <w:rFonts w:hint="default"/>
      </w:rPr>
    </w:lvl>
    <w:lvl w:ilvl="8" w:tplc="5C0CB3A6">
      <w:start w:val="1"/>
      <w:numFmt w:val="bullet"/>
      <w:lvlText w:val="•"/>
      <w:lvlJc w:val="left"/>
      <w:pPr>
        <w:ind w:left="3850" w:hanging="202"/>
      </w:pPr>
      <w:rPr>
        <w:rFonts w:hint="default"/>
      </w:rPr>
    </w:lvl>
  </w:abstractNum>
  <w:abstractNum w:abstractNumId="18" w15:restartNumberingAfterBreak="0">
    <w:nsid w:val="78D43A53"/>
    <w:multiLevelType w:val="hybridMultilevel"/>
    <w:tmpl w:val="59D6010A"/>
    <w:lvl w:ilvl="0" w:tplc="9B28F4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0"/>
  </w:num>
  <w:num w:numId="4">
    <w:abstractNumId w:val="10"/>
  </w:num>
  <w:num w:numId="5">
    <w:abstractNumId w:val="12"/>
  </w:num>
  <w:num w:numId="6">
    <w:abstractNumId w:val="1"/>
  </w:num>
  <w:num w:numId="7">
    <w:abstractNumId w:val="16"/>
  </w:num>
  <w:num w:numId="8">
    <w:abstractNumId w:val="18"/>
  </w:num>
  <w:num w:numId="9">
    <w:abstractNumId w:val="7"/>
  </w:num>
  <w:num w:numId="10">
    <w:abstractNumId w:val="13"/>
  </w:num>
  <w:num w:numId="11">
    <w:abstractNumId w:val="17"/>
  </w:num>
  <w:num w:numId="12">
    <w:abstractNumId w:val="6"/>
  </w:num>
  <w:num w:numId="13">
    <w:abstractNumId w:val="14"/>
  </w:num>
  <w:num w:numId="14">
    <w:abstractNumId w:val="2"/>
  </w:num>
  <w:num w:numId="15">
    <w:abstractNumId w:val="4"/>
  </w:num>
  <w:num w:numId="16">
    <w:abstractNumId w:val="8"/>
  </w:num>
  <w:num w:numId="17">
    <w:abstractNumId w:val="9"/>
  </w:num>
  <w:num w:numId="18">
    <w:abstractNumId w:val="3"/>
  </w:num>
  <w:num w:numId="19">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1D4"/>
    <w:rsid w:val="00000DF8"/>
    <w:rsid w:val="000100E6"/>
    <w:rsid w:val="000512DD"/>
    <w:rsid w:val="00083E51"/>
    <w:rsid w:val="0008487B"/>
    <w:rsid w:val="0011489F"/>
    <w:rsid w:val="00194095"/>
    <w:rsid w:val="00196599"/>
    <w:rsid w:val="001D7BDE"/>
    <w:rsid w:val="001F76E7"/>
    <w:rsid w:val="0023468D"/>
    <w:rsid w:val="00250FE3"/>
    <w:rsid w:val="00284D6B"/>
    <w:rsid w:val="00295DEB"/>
    <w:rsid w:val="00297AAF"/>
    <w:rsid w:val="00312772"/>
    <w:rsid w:val="00411E30"/>
    <w:rsid w:val="004379FC"/>
    <w:rsid w:val="00451F1F"/>
    <w:rsid w:val="004F7182"/>
    <w:rsid w:val="005079B5"/>
    <w:rsid w:val="00553DA9"/>
    <w:rsid w:val="00561991"/>
    <w:rsid w:val="005C4D54"/>
    <w:rsid w:val="005F602B"/>
    <w:rsid w:val="00613088"/>
    <w:rsid w:val="006159E1"/>
    <w:rsid w:val="00662F95"/>
    <w:rsid w:val="006814F2"/>
    <w:rsid w:val="006C0EA0"/>
    <w:rsid w:val="00721E74"/>
    <w:rsid w:val="0072444D"/>
    <w:rsid w:val="008524FB"/>
    <w:rsid w:val="0089661E"/>
    <w:rsid w:val="00980618"/>
    <w:rsid w:val="00983A9A"/>
    <w:rsid w:val="00984CDB"/>
    <w:rsid w:val="009C6012"/>
    <w:rsid w:val="009D14A5"/>
    <w:rsid w:val="00A04C2E"/>
    <w:rsid w:val="00A40178"/>
    <w:rsid w:val="00A4719D"/>
    <w:rsid w:val="00AA0B1C"/>
    <w:rsid w:val="00AC181C"/>
    <w:rsid w:val="00AC41D4"/>
    <w:rsid w:val="00AC6F43"/>
    <w:rsid w:val="00AD0441"/>
    <w:rsid w:val="00AE659A"/>
    <w:rsid w:val="00B26406"/>
    <w:rsid w:val="00B51E4E"/>
    <w:rsid w:val="00B8255D"/>
    <w:rsid w:val="00BB667B"/>
    <w:rsid w:val="00BE1724"/>
    <w:rsid w:val="00C15FAF"/>
    <w:rsid w:val="00C34A88"/>
    <w:rsid w:val="00C636A5"/>
    <w:rsid w:val="00C71726"/>
    <w:rsid w:val="00CA517B"/>
    <w:rsid w:val="00CB0E38"/>
    <w:rsid w:val="00CC1D6D"/>
    <w:rsid w:val="00CE0099"/>
    <w:rsid w:val="00CE63BE"/>
    <w:rsid w:val="00D15A29"/>
    <w:rsid w:val="00D41DD9"/>
    <w:rsid w:val="00D711B4"/>
    <w:rsid w:val="00DE744B"/>
    <w:rsid w:val="00DF538B"/>
    <w:rsid w:val="00E03EA3"/>
    <w:rsid w:val="00E93D81"/>
    <w:rsid w:val="00EB47CD"/>
    <w:rsid w:val="00EC03D2"/>
    <w:rsid w:val="00F76337"/>
    <w:rsid w:val="00FC412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39BC74"/>
  <w15:docId w15:val="{26BABFF1-6777-44B3-9AA8-0E2B67B7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val="en-GB"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paragraph" w:styleId="BalloonText">
    <w:name w:val="Balloon Text"/>
    <w:basedOn w:val="Normal"/>
    <w:link w:val="BalloonTextChar"/>
    <w:uiPriority w:val="99"/>
    <w:semiHidden/>
    <w:unhideWhenUsed/>
    <w:rsid w:val="00EC03D2"/>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03D2"/>
    <w:rPr>
      <w:rFonts w:ascii="Lucida Grande" w:hAnsi="Lucida Grande" w:cs="Lucida Grande"/>
      <w:sz w:val="18"/>
      <w:szCs w:val="18"/>
    </w:rPr>
  </w:style>
  <w:style w:type="paragraph" w:customStyle="1" w:styleId="TableParagraph">
    <w:name w:val="Table Paragraph"/>
    <w:basedOn w:val="Normal"/>
    <w:uiPriority w:val="1"/>
    <w:qFormat/>
    <w:rsid w:val="00721E74"/>
    <w:pPr>
      <w:widowControl w:val="0"/>
      <w:spacing w:before="0" w:after="0" w:line="240" w:lineRule="auto"/>
    </w:pPr>
    <w:rPr>
      <w:rFonts w:ascii="Calibri" w:eastAsia="Calibri" w:hAnsi="Calibri" w:cs="Calibri"/>
      <w:lang w:eastAsia="en-US"/>
    </w:rPr>
  </w:style>
  <w:style w:type="table" w:styleId="LightShading-Accent1">
    <w:name w:val="Light Shading Accent 1"/>
    <w:basedOn w:val="TableNormal"/>
    <w:uiPriority w:val="60"/>
    <w:rsid w:val="00AC6F43"/>
    <w:pPr>
      <w:spacing w:before="0" w:after="0" w:line="240" w:lineRule="auto"/>
    </w:pPr>
    <w:rPr>
      <w:color w:val="BF8F00" w:themeColor="accent1" w:themeShade="BF"/>
      <w:lang w:eastAsia="zh-TW"/>
    </w:rPr>
    <w:tblPr>
      <w:tblStyleRowBandSize w:val="1"/>
      <w:tblStyleColBandSize w:val="1"/>
      <w:tblBorders>
        <w:top w:val="single" w:sz="8" w:space="0" w:color="FFC000" w:themeColor="accent1"/>
        <w:bottom w:val="single" w:sz="8" w:space="0" w:color="FFC000" w:themeColor="accent1"/>
      </w:tblBorders>
    </w:tblPr>
    <w:tblStylePr w:type="firstRow">
      <w:pPr>
        <w:spacing w:before="0" w:after="0" w:line="240" w:lineRule="auto"/>
      </w:pPr>
      <w:rPr>
        <w:b/>
        <w:bCs/>
      </w:rPr>
      <w:tblPr/>
      <w:tcPr>
        <w:tcBorders>
          <w:top w:val="single" w:sz="8" w:space="0" w:color="FFC000" w:themeColor="accent1"/>
          <w:left w:val="nil"/>
          <w:bottom w:val="single" w:sz="8" w:space="0" w:color="FFC000" w:themeColor="accent1"/>
          <w:right w:val="nil"/>
          <w:insideH w:val="nil"/>
          <w:insideV w:val="nil"/>
        </w:tcBorders>
      </w:tcPr>
    </w:tblStylePr>
    <w:tblStylePr w:type="lastRow">
      <w:pPr>
        <w:spacing w:before="0" w:after="0" w:line="240" w:lineRule="auto"/>
      </w:pPr>
      <w:rPr>
        <w:b/>
        <w:bCs/>
      </w:rPr>
      <w:tblPr/>
      <w:tcPr>
        <w:tcBorders>
          <w:top w:val="single" w:sz="8" w:space="0" w:color="FFC000" w:themeColor="accent1"/>
          <w:left w:val="nil"/>
          <w:bottom w:val="single" w:sz="8" w:space="0" w:color="FFC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1" w:themeFillTint="3F"/>
      </w:tcPr>
    </w:tblStylePr>
    <w:tblStylePr w:type="band1Horz">
      <w:tblPr/>
      <w:tcPr>
        <w:tcBorders>
          <w:left w:val="nil"/>
          <w:right w:val="nil"/>
          <w:insideH w:val="nil"/>
          <w:insideV w:val="nil"/>
        </w:tcBorders>
        <w:shd w:val="clear" w:color="auto" w:fill="FFEFC0" w:themeFill="accent1" w:themeFillTint="3F"/>
      </w:tcPr>
    </w:tblStylePr>
  </w:style>
  <w:style w:type="character" w:styleId="CommentReference">
    <w:name w:val="annotation reference"/>
    <w:basedOn w:val="DefaultParagraphFont"/>
    <w:uiPriority w:val="99"/>
    <w:semiHidden/>
    <w:unhideWhenUsed/>
    <w:rsid w:val="00C636A5"/>
    <w:rPr>
      <w:sz w:val="16"/>
      <w:szCs w:val="16"/>
    </w:rPr>
  </w:style>
  <w:style w:type="paragraph" w:styleId="CommentText">
    <w:name w:val="annotation text"/>
    <w:basedOn w:val="Normal"/>
    <w:link w:val="CommentTextChar"/>
    <w:uiPriority w:val="99"/>
    <w:semiHidden/>
    <w:unhideWhenUsed/>
    <w:rsid w:val="00C636A5"/>
    <w:pPr>
      <w:spacing w:line="240" w:lineRule="auto"/>
    </w:pPr>
    <w:rPr>
      <w:sz w:val="20"/>
      <w:szCs w:val="20"/>
    </w:rPr>
  </w:style>
  <w:style w:type="character" w:customStyle="1" w:styleId="CommentTextChar">
    <w:name w:val="Comment Text Char"/>
    <w:basedOn w:val="DefaultParagraphFont"/>
    <w:link w:val="CommentText"/>
    <w:uiPriority w:val="99"/>
    <w:semiHidden/>
    <w:rsid w:val="00C636A5"/>
    <w:rPr>
      <w:sz w:val="20"/>
      <w:szCs w:val="20"/>
    </w:rPr>
  </w:style>
  <w:style w:type="paragraph" w:styleId="CommentSubject">
    <w:name w:val="annotation subject"/>
    <w:basedOn w:val="CommentText"/>
    <w:next w:val="CommentText"/>
    <w:link w:val="CommentSubjectChar"/>
    <w:uiPriority w:val="99"/>
    <w:semiHidden/>
    <w:unhideWhenUsed/>
    <w:rsid w:val="00C636A5"/>
    <w:rPr>
      <w:b/>
      <w:bCs/>
    </w:rPr>
  </w:style>
  <w:style w:type="character" w:customStyle="1" w:styleId="CommentSubjectChar">
    <w:name w:val="Comment Subject Char"/>
    <w:basedOn w:val="CommentTextChar"/>
    <w:link w:val="CommentSubject"/>
    <w:uiPriority w:val="99"/>
    <w:semiHidden/>
    <w:rsid w:val="00C636A5"/>
    <w:rPr>
      <w:b/>
      <w:bCs/>
      <w:sz w:val="20"/>
      <w:szCs w:val="20"/>
    </w:rPr>
  </w:style>
  <w:style w:type="character" w:styleId="FollowedHyperlink">
    <w:name w:val="FollowedHyperlink"/>
    <w:basedOn w:val="DefaultParagraphFont"/>
    <w:uiPriority w:val="99"/>
    <w:semiHidden/>
    <w:unhideWhenUsed/>
    <w:rsid w:val="008524FB"/>
    <w:rPr>
      <w:color w:val="6C606A" w:themeColor="followedHyperlink"/>
      <w:u w:val="single"/>
    </w:rPr>
  </w:style>
  <w:style w:type="paragraph" w:styleId="NormalWeb">
    <w:name w:val="Normal (Web)"/>
    <w:basedOn w:val="Normal"/>
    <w:uiPriority w:val="99"/>
    <w:semiHidden/>
    <w:unhideWhenUsed/>
    <w:rsid w:val="00CB0E3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6159E1"/>
    <w:pPr>
      <w:autoSpaceDE w:val="0"/>
      <w:autoSpaceDN w:val="0"/>
      <w:adjustRightInd w:val="0"/>
      <w:spacing w:before="0"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16836098">
      <w:bodyDiv w:val="1"/>
      <w:marLeft w:val="0"/>
      <w:marRight w:val="0"/>
      <w:marTop w:val="0"/>
      <w:marBottom w:val="0"/>
      <w:divBdr>
        <w:top w:val="none" w:sz="0" w:space="0" w:color="auto"/>
        <w:left w:val="none" w:sz="0" w:space="0" w:color="auto"/>
        <w:bottom w:val="none" w:sz="0" w:space="0" w:color="auto"/>
        <w:right w:val="none" w:sz="0" w:space="0" w:color="auto"/>
      </w:divBdr>
      <w:divsChild>
        <w:div w:id="68116151">
          <w:marLeft w:val="0"/>
          <w:marRight w:val="0"/>
          <w:marTop w:val="0"/>
          <w:marBottom w:val="0"/>
          <w:divBdr>
            <w:top w:val="none" w:sz="0" w:space="0" w:color="auto"/>
            <w:left w:val="none" w:sz="0" w:space="0" w:color="auto"/>
            <w:bottom w:val="none" w:sz="0" w:space="0" w:color="auto"/>
            <w:right w:val="none" w:sz="0" w:space="0" w:color="auto"/>
          </w:divBdr>
          <w:divsChild>
            <w:div w:id="1230577393">
              <w:marLeft w:val="0"/>
              <w:marRight w:val="0"/>
              <w:marTop w:val="0"/>
              <w:marBottom w:val="0"/>
              <w:divBdr>
                <w:top w:val="none" w:sz="0" w:space="0" w:color="auto"/>
                <w:left w:val="none" w:sz="0" w:space="0" w:color="auto"/>
                <w:bottom w:val="none" w:sz="0" w:space="0" w:color="auto"/>
                <w:right w:val="none" w:sz="0" w:space="0" w:color="auto"/>
              </w:divBdr>
              <w:divsChild>
                <w:div w:id="1828324521">
                  <w:marLeft w:val="0"/>
                  <w:marRight w:val="0"/>
                  <w:marTop w:val="0"/>
                  <w:marBottom w:val="0"/>
                  <w:divBdr>
                    <w:top w:val="none" w:sz="0" w:space="0" w:color="auto"/>
                    <w:left w:val="none" w:sz="0" w:space="0" w:color="auto"/>
                    <w:bottom w:val="none" w:sz="0" w:space="0" w:color="auto"/>
                    <w:right w:val="none" w:sz="0" w:space="0" w:color="auto"/>
                  </w:divBdr>
                  <w:divsChild>
                    <w:div w:id="767962892">
                      <w:marLeft w:val="0"/>
                      <w:marRight w:val="0"/>
                      <w:marTop w:val="0"/>
                      <w:marBottom w:val="0"/>
                      <w:divBdr>
                        <w:top w:val="none" w:sz="0" w:space="0" w:color="auto"/>
                        <w:left w:val="none" w:sz="0" w:space="0" w:color="auto"/>
                        <w:bottom w:val="none" w:sz="0" w:space="0" w:color="auto"/>
                        <w:right w:val="none" w:sz="0" w:space="0" w:color="auto"/>
                      </w:divBdr>
                      <w:divsChild>
                        <w:div w:id="93305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732705582">
      <w:bodyDiv w:val="1"/>
      <w:marLeft w:val="0"/>
      <w:marRight w:val="0"/>
      <w:marTop w:val="0"/>
      <w:marBottom w:val="0"/>
      <w:divBdr>
        <w:top w:val="none" w:sz="0" w:space="0" w:color="auto"/>
        <w:left w:val="none" w:sz="0" w:space="0" w:color="auto"/>
        <w:bottom w:val="none" w:sz="0" w:space="0" w:color="auto"/>
        <w:right w:val="none" w:sz="0" w:space="0" w:color="auto"/>
      </w:divBdr>
      <w:divsChild>
        <w:div w:id="349336542">
          <w:marLeft w:val="0"/>
          <w:marRight w:val="0"/>
          <w:marTop w:val="0"/>
          <w:marBottom w:val="0"/>
          <w:divBdr>
            <w:top w:val="none" w:sz="0" w:space="0" w:color="auto"/>
            <w:left w:val="none" w:sz="0" w:space="0" w:color="auto"/>
            <w:bottom w:val="none" w:sz="0" w:space="0" w:color="auto"/>
            <w:right w:val="none" w:sz="0" w:space="0" w:color="auto"/>
          </w:divBdr>
          <w:divsChild>
            <w:div w:id="1362705079">
              <w:marLeft w:val="0"/>
              <w:marRight w:val="0"/>
              <w:marTop w:val="0"/>
              <w:marBottom w:val="0"/>
              <w:divBdr>
                <w:top w:val="none" w:sz="0" w:space="0" w:color="auto"/>
                <w:left w:val="none" w:sz="0" w:space="0" w:color="auto"/>
                <w:bottom w:val="none" w:sz="0" w:space="0" w:color="auto"/>
                <w:right w:val="none" w:sz="0" w:space="0" w:color="auto"/>
              </w:divBdr>
              <w:divsChild>
                <w:div w:id="1040865028">
                  <w:marLeft w:val="0"/>
                  <w:marRight w:val="0"/>
                  <w:marTop w:val="0"/>
                  <w:marBottom w:val="0"/>
                  <w:divBdr>
                    <w:top w:val="none" w:sz="0" w:space="0" w:color="auto"/>
                    <w:left w:val="none" w:sz="0" w:space="0" w:color="auto"/>
                    <w:bottom w:val="none" w:sz="0" w:space="0" w:color="auto"/>
                    <w:right w:val="none" w:sz="0" w:space="0" w:color="auto"/>
                  </w:divBdr>
                  <w:divsChild>
                    <w:div w:id="878905810">
                      <w:marLeft w:val="0"/>
                      <w:marRight w:val="0"/>
                      <w:marTop w:val="0"/>
                      <w:marBottom w:val="0"/>
                      <w:divBdr>
                        <w:top w:val="none" w:sz="0" w:space="0" w:color="auto"/>
                        <w:left w:val="none" w:sz="0" w:space="0" w:color="auto"/>
                        <w:bottom w:val="none" w:sz="0" w:space="0" w:color="auto"/>
                        <w:right w:val="none" w:sz="0" w:space="0" w:color="auto"/>
                      </w:divBdr>
                      <w:divsChild>
                        <w:div w:id="182092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09980475">
      <w:bodyDiv w:val="1"/>
      <w:marLeft w:val="0"/>
      <w:marRight w:val="0"/>
      <w:marTop w:val="0"/>
      <w:marBottom w:val="0"/>
      <w:divBdr>
        <w:top w:val="none" w:sz="0" w:space="0" w:color="auto"/>
        <w:left w:val="none" w:sz="0" w:space="0" w:color="auto"/>
        <w:bottom w:val="none" w:sz="0" w:space="0" w:color="auto"/>
        <w:right w:val="none" w:sz="0" w:space="0" w:color="auto"/>
      </w:divBdr>
      <w:divsChild>
        <w:div w:id="239600689">
          <w:marLeft w:val="0"/>
          <w:marRight w:val="0"/>
          <w:marTop w:val="120"/>
          <w:marBottom w:val="120"/>
          <w:divBdr>
            <w:top w:val="none" w:sz="0" w:space="0" w:color="auto"/>
            <w:left w:val="none" w:sz="0" w:space="0" w:color="auto"/>
            <w:bottom w:val="none" w:sz="0" w:space="0" w:color="auto"/>
            <w:right w:val="none" w:sz="0" w:space="0" w:color="auto"/>
          </w:divBdr>
          <w:divsChild>
            <w:div w:id="1734548906">
              <w:marLeft w:val="0"/>
              <w:marRight w:val="0"/>
              <w:marTop w:val="0"/>
              <w:marBottom w:val="0"/>
              <w:divBdr>
                <w:top w:val="none" w:sz="0" w:space="0" w:color="auto"/>
                <w:left w:val="none" w:sz="0" w:space="0" w:color="auto"/>
                <w:bottom w:val="none" w:sz="0" w:space="0" w:color="auto"/>
                <w:right w:val="none" w:sz="0" w:space="0" w:color="auto"/>
              </w:divBdr>
              <w:divsChild>
                <w:div w:id="247429231">
                  <w:marLeft w:val="0"/>
                  <w:marRight w:val="0"/>
                  <w:marTop w:val="0"/>
                  <w:marBottom w:val="0"/>
                  <w:divBdr>
                    <w:top w:val="none" w:sz="0" w:space="0" w:color="auto"/>
                    <w:left w:val="none" w:sz="0" w:space="0" w:color="auto"/>
                    <w:bottom w:val="none" w:sz="0" w:space="0" w:color="auto"/>
                    <w:right w:val="none" w:sz="0" w:space="0" w:color="auto"/>
                  </w:divBdr>
                  <w:divsChild>
                    <w:div w:id="601450844">
                      <w:marLeft w:val="0"/>
                      <w:marRight w:val="0"/>
                      <w:marTop w:val="0"/>
                      <w:marBottom w:val="0"/>
                      <w:divBdr>
                        <w:top w:val="none" w:sz="0" w:space="0" w:color="auto"/>
                        <w:left w:val="none" w:sz="0" w:space="0" w:color="auto"/>
                        <w:bottom w:val="none" w:sz="0" w:space="0" w:color="auto"/>
                        <w:right w:val="none" w:sz="0" w:space="0" w:color="auto"/>
                      </w:divBdr>
                      <w:divsChild>
                        <w:div w:id="2141342636">
                          <w:marLeft w:val="0"/>
                          <w:marRight w:val="240"/>
                          <w:marTop w:val="0"/>
                          <w:marBottom w:val="0"/>
                          <w:divBdr>
                            <w:top w:val="none" w:sz="0" w:space="0" w:color="auto"/>
                            <w:left w:val="none" w:sz="0" w:space="0" w:color="auto"/>
                            <w:bottom w:val="none" w:sz="0" w:space="0" w:color="auto"/>
                            <w:right w:val="none" w:sz="0" w:space="0" w:color="auto"/>
                          </w:divBdr>
                          <w:divsChild>
                            <w:div w:id="70806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dorsetadultsafeguarding@dorsetcc.gcsx.gov.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orsetccg.nhs.uk/Downloads/aboutus/Policies/Corporate/Safeguarding%20Adults%20procedure%20final%20%202016.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psafeguardingadultsboard.com/uploads/7/4/8/9/74891967/self_neglect_and_hoarding_v2.0_final.pdf" TargetMode="External"/><Relationship Id="rId5" Type="http://schemas.openxmlformats.org/officeDocument/2006/relationships/settings" Target="settings.xml"/><Relationship Id="rId15" Type="http://schemas.openxmlformats.org/officeDocument/2006/relationships/hyperlink" Target="http://www.bpsafeguardingadultsboard.com/uploads/7/4/8/9/74891967/final_bdp_sab_multi_agency_adult_safeguarding_policy_pdf_200415.pdf" TargetMode="External"/><Relationship Id="rId23" Type="http://schemas.openxmlformats.org/officeDocument/2006/relationships/theme" Target="theme/theme1.xml"/><Relationship Id="rId10" Type="http://schemas.openxmlformats.org/officeDocument/2006/relationships/hyperlink" Target="https://www.gov.uk/discrimination-your-rights/types-of-discrimination"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www.gov.uk/government/uploads/system/uploads/attachment_data/file/328096/Modern_slavery_booklet_v12_WEB__2_.pdf"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www.bpsafeguardingadultsboard.com" TargetMode="External"/><Relationship Id="rId2" Type="http://schemas.openxmlformats.org/officeDocument/2006/relationships/hyperlink" Target="https://www.gov.uk/government/publications/care-act-statutory-guidance/care-and-support-statutory-guidance" TargetMode="External"/><Relationship Id="rId1" Type="http://schemas.openxmlformats.org/officeDocument/2006/relationships/hyperlink" Target="https://www.gov.uk/government/publications/care-act-statutory-guidance/care-and-support-statutory-guidance" TargetMode="External"/><Relationship Id="rId6" Type="http://schemas.openxmlformats.org/officeDocument/2006/relationships/hyperlink" Target="http://www.nhs.uk/Conditions/social-care-and-support-guide/Pages/mental-capacity.aspx" TargetMode="External"/><Relationship Id="rId5" Type="http://schemas.openxmlformats.org/officeDocument/2006/relationships/hyperlink" Target="http://www.nhs.uk/Conditions/social-care-and-support-guide/Pages/mental-capacity.aspx" TargetMode="External"/><Relationship Id="rId4" Type="http://schemas.openxmlformats.org/officeDocument/2006/relationships/hyperlink" Target="https://www.dorsetforyou.gov.uk/dorsetsafeguardingadultsboar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163FE5B3FAA04CBA9B2C0A05A33435"/>
        <w:category>
          <w:name w:val="General"/>
          <w:gallery w:val="placeholder"/>
        </w:category>
        <w:types>
          <w:type w:val="bbPlcHdr"/>
        </w:types>
        <w:behaviors>
          <w:behavior w:val="content"/>
        </w:behaviors>
        <w:guid w:val="{D4101085-E1C1-E347-BB88-4556AA34B491}"/>
      </w:docPartPr>
      <w:docPartBody>
        <w:p w:rsidR="00F22A78" w:rsidRDefault="006A746F" w:rsidP="006A746F">
          <w:pPr>
            <w:pStyle w:val="BC163FE5B3FAA04CBA9B2C0A05A33435"/>
          </w:pPr>
          <w:r>
            <w:t>[Type text]</w:t>
          </w:r>
        </w:p>
      </w:docPartBody>
    </w:docPart>
    <w:docPart>
      <w:docPartPr>
        <w:name w:val="FBFDAE0DD3AA844183A5863223EAD624"/>
        <w:category>
          <w:name w:val="General"/>
          <w:gallery w:val="placeholder"/>
        </w:category>
        <w:types>
          <w:type w:val="bbPlcHdr"/>
        </w:types>
        <w:behaviors>
          <w:behavior w:val="content"/>
        </w:behaviors>
        <w:guid w:val="{338E967B-E026-D74D-BCF7-165D52769E76}"/>
      </w:docPartPr>
      <w:docPartBody>
        <w:p w:rsidR="00F22A78" w:rsidRDefault="006A746F" w:rsidP="006A746F">
          <w:pPr>
            <w:pStyle w:val="FBFDAE0DD3AA844183A5863223EAD624"/>
          </w:pPr>
          <w:r>
            <w:t>[Type text]</w:t>
          </w:r>
        </w:p>
      </w:docPartBody>
    </w:docPart>
    <w:docPart>
      <w:docPartPr>
        <w:name w:val="0E6D67319E18BC49B5B40644D938D165"/>
        <w:category>
          <w:name w:val="General"/>
          <w:gallery w:val="placeholder"/>
        </w:category>
        <w:types>
          <w:type w:val="bbPlcHdr"/>
        </w:types>
        <w:behaviors>
          <w:behavior w:val="content"/>
        </w:behaviors>
        <w:guid w:val="{D6F7F94D-AA46-5346-8A13-5A620746E33B}"/>
      </w:docPartPr>
      <w:docPartBody>
        <w:p w:rsidR="00F22A78" w:rsidRDefault="006A746F" w:rsidP="006A746F">
          <w:pPr>
            <w:pStyle w:val="0E6D67319E18BC49B5B40644D938D16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CB7"/>
    <w:rsid w:val="00063C41"/>
    <w:rsid w:val="00231E34"/>
    <w:rsid w:val="004E7A37"/>
    <w:rsid w:val="006A746F"/>
    <w:rsid w:val="00CE21D4"/>
    <w:rsid w:val="00D33CB7"/>
    <w:rsid w:val="00D5397E"/>
    <w:rsid w:val="00EC4BB2"/>
    <w:rsid w:val="00F22A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E4C68CFE64C84FB51575804A1D2DFB">
    <w:name w:val="FEE4C68CFE64C84FB51575804A1D2DFB"/>
    <w:rsid w:val="00D33CB7"/>
  </w:style>
  <w:style w:type="paragraph" w:customStyle="1" w:styleId="62B4BF495421F342A8ECAE2667B049B8">
    <w:name w:val="62B4BF495421F342A8ECAE2667B049B8"/>
    <w:rsid w:val="00D33CB7"/>
  </w:style>
  <w:style w:type="paragraph" w:customStyle="1" w:styleId="6C6865A55884B34A860FD17C3BDE6763">
    <w:name w:val="6C6865A55884B34A860FD17C3BDE6763"/>
    <w:rsid w:val="00D33CB7"/>
  </w:style>
  <w:style w:type="paragraph" w:customStyle="1" w:styleId="BC163FE5B3FAA04CBA9B2C0A05A33435">
    <w:name w:val="BC163FE5B3FAA04CBA9B2C0A05A33435"/>
    <w:rsid w:val="006A746F"/>
  </w:style>
  <w:style w:type="paragraph" w:customStyle="1" w:styleId="FBFDAE0DD3AA844183A5863223EAD624">
    <w:name w:val="FBFDAE0DD3AA844183A5863223EAD624"/>
    <w:rsid w:val="006A746F"/>
  </w:style>
  <w:style w:type="paragraph" w:customStyle="1" w:styleId="0E6D67319E18BC49B5B40644D938D165">
    <w:name w:val="0E6D67319E18BC49B5B40644D938D165"/>
    <w:rsid w:val="006A746F"/>
  </w:style>
  <w:style w:type="paragraph" w:customStyle="1" w:styleId="4E44026A14069D49AA43599B4F57A6B7">
    <w:name w:val="4E44026A14069D49AA43599B4F57A6B7"/>
    <w:rsid w:val="006A746F"/>
  </w:style>
  <w:style w:type="paragraph" w:customStyle="1" w:styleId="EF0316692ECB8F459D5352F728B94D86">
    <w:name w:val="EF0316692ECB8F459D5352F728B94D86"/>
    <w:rsid w:val="006A746F"/>
  </w:style>
  <w:style w:type="paragraph" w:customStyle="1" w:styleId="0D90DDE03A25B24CAAFC84C29549ABA1">
    <w:name w:val="0D90DDE03A25B24CAAFC84C29549ABA1"/>
    <w:rsid w:val="006A74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6017749D-8767-4B5F-9DED-5EF31A880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1</TotalTime>
  <Pages>10</Pages>
  <Words>3417</Words>
  <Characters>19483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NHS Dorset CCG</Company>
  <LinksUpToDate>false</LinksUpToDate>
  <CharactersWithSpaces>22855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fiona cleary</cp:lastModifiedBy>
  <cp:revision>3</cp:revision>
  <dcterms:created xsi:type="dcterms:W3CDTF">2017-04-25T13:43:00Z</dcterms:created>
  <dcterms:modified xsi:type="dcterms:W3CDTF">2017-04-25T13:44:00Z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