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1ABF" w14:textId="40003079" w:rsidR="0052028C" w:rsidRDefault="00E33250" w:rsidP="00E33250">
      <w:pPr>
        <w:pStyle w:val="Title"/>
        <w:contextualSpacing/>
        <w:jc w:val="right"/>
        <w:rPr>
          <w:rFonts w:ascii="Calibri" w:hAnsi="Calibri"/>
        </w:rPr>
      </w:pPr>
      <w:r w:rsidRPr="00D23E2D">
        <w:rPr>
          <w:rFonts w:ascii="Arial" w:hAnsi="Arial" w:cs="Arial"/>
          <w:noProof/>
          <w:lang w:eastAsia="en-GB"/>
        </w:rPr>
        <w:drawing>
          <wp:inline distT="0" distB="0" distL="0" distR="0" wp14:anchorId="62506400" wp14:editId="4119503B">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bookmarkStart w:id="0" w:name="_GoBack"/>
      <w:bookmarkEnd w:id="0"/>
    </w:p>
    <w:p w14:paraId="58AD5BAE" w14:textId="77777777" w:rsidR="00AC41D4" w:rsidRPr="000B27BB" w:rsidRDefault="00AC41D4" w:rsidP="000B27BB">
      <w:pPr>
        <w:pStyle w:val="Title"/>
        <w:contextualSpacing/>
        <w:rPr>
          <w:rFonts w:ascii="Calibri" w:hAnsi="Calibri"/>
        </w:rPr>
      </w:pPr>
      <w:r w:rsidRPr="000B27BB">
        <w:rPr>
          <w:rFonts w:ascii="Calibri" w:hAnsi="Calibri"/>
        </w:rPr>
        <w:t xml:space="preserve">group policies and procedures </w:t>
      </w:r>
    </w:p>
    <w:p w14:paraId="0DA310F5" w14:textId="797DF15E" w:rsidR="00C15FAF" w:rsidRPr="000B27BB" w:rsidRDefault="0040688C" w:rsidP="000B27BB">
      <w:pPr>
        <w:pStyle w:val="Heading1"/>
        <w:contextualSpacing/>
        <w:rPr>
          <w:rFonts w:ascii="Calibri" w:hAnsi="Calibri"/>
          <w:sz w:val="36"/>
          <w:szCs w:val="36"/>
        </w:rPr>
      </w:pPr>
      <w:r w:rsidRPr="000B27BB">
        <w:rPr>
          <w:rFonts w:ascii="Calibri" w:hAnsi="Calibri"/>
          <w:sz w:val="36"/>
          <w:szCs w:val="36"/>
        </w:rPr>
        <w:t>information sharing policy</w:t>
      </w:r>
      <w:r w:rsidRPr="000B27BB">
        <w:rPr>
          <w:rFonts w:ascii="Calibri" w:hAnsi="Calibri"/>
          <w:sz w:val="36"/>
          <w:szCs w:val="36"/>
        </w:rPr>
        <w:tab/>
      </w:r>
    </w:p>
    <w:p w14:paraId="43CE4C50" w14:textId="77777777" w:rsidR="00C15FAF" w:rsidRPr="000B27BB" w:rsidRDefault="00A40178" w:rsidP="000B27BB">
      <w:pPr>
        <w:contextualSpacing/>
        <w:rPr>
          <w:rFonts w:ascii="Calibri" w:hAnsi="Calibri"/>
        </w:rPr>
      </w:pPr>
      <w:r w:rsidRPr="000B27BB">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0B27BB" w14:paraId="4F380843" w14:textId="77777777" w:rsidTr="00196599">
        <w:tc>
          <w:tcPr>
            <w:tcW w:w="2943" w:type="dxa"/>
            <w:shd w:val="clear" w:color="auto" w:fill="099BDD" w:themeFill="text2"/>
          </w:tcPr>
          <w:p w14:paraId="5C527393"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Category</w:t>
            </w:r>
          </w:p>
        </w:tc>
        <w:tc>
          <w:tcPr>
            <w:tcW w:w="7353" w:type="dxa"/>
          </w:tcPr>
          <w:p w14:paraId="6228B86D" w14:textId="6FE3D51C"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Information Corporate</w:t>
            </w:r>
            <w:r w:rsidR="0040688C" w:rsidRPr="000B27BB">
              <w:rPr>
                <w:rFonts w:ascii="Calibri" w:hAnsi="Calibri"/>
                <w:sz w:val="28"/>
                <w:szCs w:val="28"/>
              </w:rPr>
              <w:t xml:space="preserve"> Governance</w:t>
            </w:r>
          </w:p>
        </w:tc>
      </w:tr>
      <w:tr w:rsidR="00A40178" w:rsidRPr="000B27BB" w14:paraId="2DAC5305" w14:textId="77777777" w:rsidTr="00196599">
        <w:tc>
          <w:tcPr>
            <w:tcW w:w="2943" w:type="dxa"/>
            <w:shd w:val="clear" w:color="auto" w:fill="099BDD" w:themeFill="text2"/>
          </w:tcPr>
          <w:p w14:paraId="33A1C3F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Author</w:t>
            </w:r>
          </w:p>
        </w:tc>
        <w:tc>
          <w:tcPr>
            <w:tcW w:w="7353" w:type="dxa"/>
          </w:tcPr>
          <w:p w14:paraId="5FE6A09B" w14:textId="77777777" w:rsidR="00A40178" w:rsidRPr="000B27BB" w:rsidRDefault="00A40178" w:rsidP="000B27BB">
            <w:pPr>
              <w:spacing w:after="200" w:line="264" w:lineRule="auto"/>
              <w:contextualSpacing/>
              <w:rPr>
                <w:rFonts w:ascii="Calibri" w:hAnsi="Calibri"/>
                <w:sz w:val="28"/>
                <w:szCs w:val="28"/>
              </w:rPr>
            </w:pPr>
            <w:r w:rsidRPr="000B27BB">
              <w:rPr>
                <w:rFonts w:ascii="Calibri" w:hAnsi="Calibri"/>
                <w:sz w:val="28"/>
                <w:szCs w:val="28"/>
              </w:rPr>
              <w:t>Castleman Healthcare</w:t>
            </w:r>
            <w:r w:rsidR="001D7BDE" w:rsidRPr="000B27BB">
              <w:rPr>
                <w:rFonts w:ascii="Calibri" w:hAnsi="Calibri"/>
                <w:sz w:val="28"/>
                <w:szCs w:val="28"/>
              </w:rPr>
              <w:t xml:space="preserve"> Ltd</w:t>
            </w:r>
          </w:p>
        </w:tc>
      </w:tr>
      <w:tr w:rsidR="00A40178" w:rsidRPr="000B27BB" w14:paraId="556B03E2" w14:textId="77777777" w:rsidTr="00196599">
        <w:tc>
          <w:tcPr>
            <w:tcW w:w="2943" w:type="dxa"/>
            <w:shd w:val="clear" w:color="auto" w:fill="099BDD" w:themeFill="text2"/>
          </w:tcPr>
          <w:p w14:paraId="46F9B232"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Responsible Director</w:t>
            </w:r>
          </w:p>
        </w:tc>
        <w:tc>
          <w:tcPr>
            <w:tcW w:w="7353" w:type="dxa"/>
          </w:tcPr>
          <w:p w14:paraId="7435F7A9" w14:textId="12B85EFA"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Fiona Pickering</w:t>
            </w:r>
          </w:p>
        </w:tc>
      </w:tr>
      <w:tr w:rsidR="00A40178" w:rsidRPr="000B27BB" w14:paraId="01263F99" w14:textId="77777777" w:rsidTr="00196599">
        <w:tc>
          <w:tcPr>
            <w:tcW w:w="2943" w:type="dxa"/>
            <w:shd w:val="clear" w:color="auto" w:fill="099BDD" w:themeFill="text2"/>
          </w:tcPr>
          <w:p w14:paraId="0580C7C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Date of issue</w:t>
            </w:r>
          </w:p>
        </w:tc>
        <w:tc>
          <w:tcPr>
            <w:tcW w:w="7353" w:type="dxa"/>
          </w:tcPr>
          <w:p w14:paraId="387BD1A4" w14:textId="18AD7F9C" w:rsidR="00A40178" w:rsidRPr="000B27BB" w:rsidRDefault="006E5AFF" w:rsidP="000B27BB">
            <w:pPr>
              <w:spacing w:after="200" w:line="264" w:lineRule="auto"/>
              <w:contextualSpacing/>
              <w:rPr>
                <w:rFonts w:ascii="Calibri" w:hAnsi="Calibri"/>
                <w:sz w:val="28"/>
                <w:szCs w:val="28"/>
              </w:rPr>
            </w:pPr>
            <w:r>
              <w:rPr>
                <w:rFonts w:ascii="Calibri" w:hAnsi="Calibri"/>
                <w:sz w:val="28"/>
                <w:szCs w:val="28"/>
              </w:rPr>
              <w:t>September</w:t>
            </w:r>
            <w:r w:rsidR="00A40178" w:rsidRPr="000B27BB">
              <w:rPr>
                <w:rFonts w:ascii="Calibri" w:hAnsi="Calibri"/>
                <w:sz w:val="28"/>
                <w:szCs w:val="28"/>
              </w:rPr>
              <w:t xml:space="preserve"> 2016</w:t>
            </w:r>
          </w:p>
        </w:tc>
      </w:tr>
      <w:tr w:rsidR="00A40178" w:rsidRPr="000B27BB" w14:paraId="40097A9A" w14:textId="77777777" w:rsidTr="00196599">
        <w:tc>
          <w:tcPr>
            <w:tcW w:w="2943" w:type="dxa"/>
            <w:shd w:val="clear" w:color="auto" w:fill="099BDD" w:themeFill="text2"/>
          </w:tcPr>
          <w:p w14:paraId="33627AD8"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Next review date</w:t>
            </w:r>
          </w:p>
        </w:tc>
        <w:tc>
          <w:tcPr>
            <w:tcW w:w="7353" w:type="dxa"/>
          </w:tcPr>
          <w:p w14:paraId="640F7507" w14:textId="3B6EA652" w:rsidR="00A40178" w:rsidRPr="000B27BB" w:rsidRDefault="0052028C" w:rsidP="000B27BB">
            <w:pPr>
              <w:spacing w:after="200" w:line="264" w:lineRule="auto"/>
              <w:contextualSpacing/>
              <w:rPr>
                <w:rFonts w:ascii="Calibri" w:hAnsi="Calibri"/>
                <w:sz w:val="28"/>
                <w:szCs w:val="28"/>
              </w:rPr>
            </w:pPr>
            <w:r>
              <w:rPr>
                <w:rFonts w:ascii="Calibri" w:hAnsi="Calibri"/>
                <w:sz w:val="28"/>
                <w:szCs w:val="28"/>
              </w:rPr>
              <w:t>April 19</w:t>
            </w:r>
          </w:p>
        </w:tc>
      </w:tr>
      <w:tr w:rsidR="00A40178" w:rsidRPr="000B27BB" w14:paraId="13B9F795" w14:textId="77777777" w:rsidTr="00196599">
        <w:tc>
          <w:tcPr>
            <w:tcW w:w="2943" w:type="dxa"/>
            <w:shd w:val="clear" w:color="auto" w:fill="099BDD" w:themeFill="text2"/>
          </w:tcPr>
          <w:p w14:paraId="46B13B1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Document ref &amp; version</w:t>
            </w:r>
          </w:p>
        </w:tc>
        <w:tc>
          <w:tcPr>
            <w:tcW w:w="7353" w:type="dxa"/>
          </w:tcPr>
          <w:p w14:paraId="1833BBD7" w14:textId="416B986E" w:rsidR="00A40178" w:rsidRPr="000B27BB" w:rsidRDefault="009A2A0E" w:rsidP="000B27BB">
            <w:pPr>
              <w:spacing w:after="200" w:line="264" w:lineRule="auto"/>
              <w:contextualSpacing/>
              <w:rPr>
                <w:rFonts w:ascii="Calibri" w:hAnsi="Calibri"/>
                <w:sz w:val="28"/>
                <w:szCs w:val="28"/>
              </w:rPr>
            </w:pPr>
            <w:r>
              <w:rPr>
                <w:rFonts w:ascii="Calibri" w:hAnsi="Calibri"/>
                <w:sz w:val="28"/>
                <w:szCs w:val="28"/>
              </w:rPr>
              <w:t xml:space="preserve">Information Sharing Policy </w:t>
            </w:r>
            <w:r w:rsidR="006E5AFF">
              <w:rPr>
                <w:rFonts w:ascii="Calibri" w:hAnsi="Calibri"/>
                <w:sz w:val="28"/>
                <w:szCs w:val="28"/>
              </w:rPr>
              <w:t>September 2016</w:t>
            </w:r>
          </w:p>
        </w:tc>
      </w:tr>
    </w:tbl>
    <w:p w14:paraId="605BC5C0"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Related policies and guidance</w:t>
      </w:r>
    </w:p>
    <w:p w14:paraId="3BBE408D" w14:textId="77777777" w:rsidR="00A40178" w:rsidRPr="000B27BB" w:rsidRDefault="001D7BDE" w:rsidP="000B27BB">
      <w:pPr>
        <w:pStyle w:val="ListParagraph"/>
        <w:numPr>
          <w:ilvl w:val="0"/>
          <w:numId w:val="4"/>
        </w:numPr>
        <w:rPr>
          <w:rFonts w:ascii="Calibri" w:hAnsi="Calibri"/>
          <w:b/>
          <w:sz w:val="24"/>
          <w:szCs w:val="24"/>
        </w:rPr>
      </w:pPr>
      <w:r w:rsidRPr="000B27BB">
        <w:rPr>
          <w:rFonts w:ascii="Calibri" w:hAnsi="Calibri"/>
          <w:b/>
          <w:sz w:val="24"/>
          <w:szCs w:val="24"/>
        </w:rPr>
        <w:t xml:space="preserve"> </w:t>
      </w:r>
    </w:p>
    <w:p w14:paraId="0CBF26FC"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070"/>
        <w:gridCol w:w="1713"/>
        <w:gridCol w:w="1992"/>
        <w:gridCol w:w="3604"/>
      </w:tblGrid>
      <w:tr w:rsidR="00A40178" w:rsidRPr="000B27BB" w14:paraId="6016835C" w14:textId="77777777" w:rsidTr="00196599">
        <w:tc>
          <w:tcPr>
            <w:tcW w:w="1242" w:type="dxa"/>
            <w:shd w:val="clear" w:color="auto" w:fill="099BDD" w:themeFill="text2"/>
          </w:tcPr>
          <w:p w14:paraId="1C474925"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Version</w:t>
            </w:r>
          </w:p>
        </w:tc>
        <w:tc>
          <w:tcPr>
            <w:tcW w:w="1134" w:type="dxa"/>
            <w:shd w:val="clear" w:color="auto" w:fill="099BDD" w:themeFill="text2"/>
          </w:tcPr>
          <w:p w14:paraId="75CDE1BC"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Date</w:t>
            </w:r>
          </w:p>
        </w:tc>
        <w:tc>
          <w:tcPr>
            <w:tcW w:w="1843" w:type="dxa"/>
            <w:shd w:val="clear" w:color="auto" w:fill="099BDD" w:themeFill="text2"/>
          </w:tcPr>
          <w:p w14:paraId="7659EC91"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Author</w:t>
            </w:r>
          </w:p>
        </w:tc>
        <w:tc>
          <w:tcPr>
            <w:tcW w:w="2126" w:type="dxa"/>
            <w:shd w:val="clear" w:color="auto" w:fill="099BDD" w:themeFill="text2"/>
          </w:tcPr>
          <w:p w14:paraId="72D57FDE"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Approved by</w:t>
            </w:r>
          </w:p>
        </w:tc>
        <w:tc>
          <w:tcPr>
            <w:tcW w:w="3951" w:type="dxa"/>
            <w:shd w:val="clear" w:color="auto" w:fill="099BDD" w:themeFill="text2"/>
          </w:tcPr>
          <w:p w14:paraId="039757F8"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Comments</w:t>
            </w:r>
          </w:p>
        </w:tc>
      </w:tr>
      <w:tr w:rsidR="00A40178" w:rsidRPr="000B27BB" w14:paraId="078184C0" w14:textId="77777777" w:rsidTr="00196599">
        <w:tc>
          <w:tcPr>
            <w:tcW w:w="1242" w:type="dxa"/>
          </w:tcPr>
          <w:p w14:paraId="5ABA3816" w14:textId="77777777" w:rsidR="00A40178" w:rsidRPr="000B27BB" w:rsidRDefault="00A40178" w:rsidP="000B27BB">
            <w:pPr>
              <w:spacing w:after="200" w:line="264" w:lineRule="auto"/>
              <w:contextualSpacing/>
              <w:rPr>
                <w:rFonts w:ascii="Calibri" w:hAnsi="Calibri"/>
              </w:rPr>
            </w:pPr>
            <w:r w:rsidRPr="000B27BB">
              <w:rPr>
                <w:rFonts w:ascii="Calibri" w:hAnsi="Calibri"/>
              </w:rPr>
              <w:t>V1</w:t>
            </w:r>
          </w:p>
        </w:tc>
        <w:tc>
          <w:tcPr>
            <w:tcW w:w="1134" w:type="dxa"/>
          </w:tcPr>
          <w:p w14:paraId="350691C3" w14:textId="53268DDE" w:rsidR="00A40178" w:rsidRPr="000B27BB" w:rsidRDefault="009A2A0E" w:rsidP="000B27BB">
            <w:pPr>
              <w:spacing w:after="200" w:line="264" w:lineRule="auto"/>
              <w:contextualSpacing/>
              <w:rPr>
                <w:rFonts w:ascii="Calibri" w:hAnsi="Calibri"/>
              </w:rPr>
            </w:pPr>
            <w:r>
              <w:rPr>
                <w:rFonts w:ascii="Calibri" w:hAnsi="Calibri"/>
              </w:rPr>
              <w:t>Sept</w:t>
            </w:r>
            <w:r w:rsidR="00A40178" w:rsidRPr="000B27BB">
              <w:rPr>
                <w:rFonts w:ascii="Calibri" w:hAnsi="Calibri"/>
              </w:rPr>
              <w:t xml:space="preserve"> 16</w:t>
            </w:r>
          </w:p>
        </w:tc>
        <w:tc>
          <w:tcPr>
            <w:tcW w:w="1843" w:type="dxa"/>
          </w:tcPr>
          <w:p w14:paraId="5812C3A6" w14:textId="1E36D2D7" w:rsidR="00A40178" w:rsidRPr="000B27BB" w:rsidRDefault="001D7BDE" w:rsidP="000B27BB">
            <w:pPr>
              <w:spacing w:after="200" w:line="264" w:lineRule="auto"/>
              <w:contextualSpacing/>
              <w:rPr>
                <w:rFonts w:ascii="Calibri" w:hAnsi="Calibri"/>
              </w:rPr>
            </w:pPr>
            <w:r w:rsidRPr="000B27BB">
              <w:rPr>
                <w:rFonts w:ascii="Calibri" w:hAnsi="Calibri"/>
              </w:rPr>
              <w:t xml:space="preserve"> </w:t>
            </w:r>
            <w:r w:rsidR="009A2A0E">
              <w:rPr>
                <w:rFonts w:ascii="Calibri" w:hAnsi="Calibri"/>
              </w:rPr>
              <w:t>FP</w:t>
            </w:r>
          </w:p>
        </w:tc>
        <w:tc>
          <w:tcPr>
            <w:tcW w:w="2126" w:type="dxa"/>
          </w:tcPr>
          <w:p w14:paraId="62E8A107" w14:textId="77777777" w:rsidR="00A40178" w:rsidRPr="000B27BB" w:rsidRDefault="00A40178" w:rsidP="000B27BB">
            <w:pPr>
              <w:spacing w:after="200" w:line="264" w:lineRule="auto"/>
              <w:contextualSpacing/>
              <w:rPr>
                <w:rFonts w:ascii="Calibri" w:hAnsi="Calibri"/>
              </w:rPr>
            </w:pPr>
          </w:p>
        </w:tc>
        <w:tc>
          <w:tcPr>
            <w:tcW w:w="3951" w:type="dxa"/>
          </w:tcPr>
          <w:p w14:paraId="11766EB3" w14:textId="093188E3" w:rsidR="00A40178" w:rsidRPr="000B27BB" w:rsidRDefault="009A2A0E" w:rsidP="000B27BB">
            <w:pPr>
              <w:spacing w:after="200" w:line="264" w:lineRule="auto"/>
              <w:contextualSpacing/>
              <w:rPr>
                <w:rFonts w:ascii="Calibri" w:hAnsi="Calibri"/>
              </w:rPr>
            </w:pPr>
            <w:r>
              <w:rPr>
                <w:rFonts w:ascii="Calibri" w:hAnsi="Calibri"/>
              </w:rPr>
              <w:t>Need to discuss information sharing policy further – no changes made at this stage by FC</w:t>
            </w:r>
          </w:p>
        </w:tc>
      </w:tr>
      <w:tr w:rsidR="00A40178" w:rsidRPr="000B27BB" w14:paraId="7A9091D5" w14:textId="77777777" w:rsidTr="00196599">
        <w:tc>
          <w:tcPr>
            <w:tcW w:w="1242" w:type="dxa"/>
          </w:tcPr>
          <w:p w14:paraId="0ECE6450" w14:textId="3DB58BD8" w:rsidR="00A40178" w:rsidRPr="000B27BB" w:rsidRDefault="006E5AFF" w:rsidP="000B27BB">
            <w:pPr>
              <w:spacing w:after="200" w:line="264" w:lineRule="auto"/>
              <w:contextualSpacing/>
              <w:rPr>
                <w:rFonts w:ascii="Calibri" w:hAnsi="Calibri"/>
              </w:rPr>
            </w:pPr>
            <w:r>
              <w:rPr>
                <w:rFonts w:ascii="Calibri" w:hAnsi="Calibri"/>
              </w:rPr>
              <w:t xml:space="preserve">Final </w:t>
            </w:r>
          </w:p>
        </w:tc>
        <w:tc>
          <w:tcPr>
            <w:tcW w:w="1134" w:type="dxa"/>
          </w:tcPr>
          <w:p w14:paraId="1EEB0B22" w14:textId="45559541" w:rsidR="00A40178" w:rsidRPr="000B27BB" w:rsidRDefault="006E5AFF" w:rsidP="000B27BB">
            <w:pPr>
              <w:spacing w:after="200" w:line="264" w:lineRule="auto"/>
              <w:contextualSpacing/>
              <w:rPr>
                <w:rFonts w:ascii="Calibri" w:hAnsi="Calibri"/>
              </w:rPr>
            </w:pPr>
            <w:r>
              <w:rPr>
                <w:rFonts w:ascii="Calibri" w:hAnsi="Calibri"/>
              </w:rPr>
              <w:t>Sept 16</w:t>
            </w:r>
          </w:p>
        </w:tc>
        <w:tc>
          <w:tcPr>
            <w:tcW w:w="1843" w:type="dxa"/>
          </w:tcPr>
          <w:p w14:paraId="3A16E86D" w14:textId="77777777" w:rsidR="00A40178" w:rsidRPr="000B27BB" w:rsidRDefault="00A40178" w:rsidP="000B27BB">
            <w:pPr>
              <w:spacing w:after="200" w:line="264" w:lineRule="auto"/>
              <w:contextualSpacing/>
              <w:rPr>
                <w:rFonts w:ascii="Calibri" w:hAnsi="Calibri"/>
              </w:rPr>
            </w:pPr>
          </w:p>
        </w:tc>
        <w:tc>
          <w:tcPr>
            <w:tcW w:w="2126" w:type="dxa"/>
          </w:tcPr>
          <w:p w14:paraId="1BDF659B" w14:textId="77777777" w:rsidR="00A40178" w:rsidRPr="000B27BB" w:rsidRDefault="00A40178" w:rsidP="000B27BB">
            <w:pPr>
              <w:spacing w:after="200" w:line="264" w:lineRule="auto"/>
              <w:contextualSpacing/>
              <w:rPr>
                <w:rFonts w:ascii="Calibri" w:hAnsi="Calibri"/>
              </w:rPr>
            </w:pPr>
          </w:p>
        </w:tc>
        <w:tc>
          <w:tcPr>
            <w:tcW w:w="3951" w:type="dxa"/>
          </w:tcPr>
          <w:p w14:paraId="6449B423" w14:textId="77777777" w:rsidR="00A40178" w:rsidRPr="000B27BB" w:rsidRDefault="00A40178" w:rsidP="000B27BB">
            <w:pPr>
              <w:spacing w:after="200" w:line="264" w:lineRule="auto"/>
              <w:contextualSpacing/>
              <w:rPr>
                <w:rFonts w:ascii="Calibri" w:hAnsi="Calibri"/>
              </w:rPr>
            </w:pPr>
          </w:p>
        </w:tc>
      </w:tr>
      <w:tr w:rsidR="00A40178" w:rsidRPr="000B27BB" w14:paraId="7F2F6CB7" w14:textId="77777777" w:rsidTr="00196599">
        <w:tc>
          <w:tcPr>
            <w:tcW w:w="1242" w:type="dxa"/>
          </w:tcPr>
          <w:p w14:paraId="17378088" w14:textId="77777777" w:rsidR="00A40178" w:rsidRPr="000B27BB" w:rsidRDefault="00A40178" w:rsidP="000B27BB">
            <w:pPr>
              <w:spacing w:after="200" w:line="264" w:lineRule="auto"/>
              <w:contextualSpacing/>
              <w:rPr>
                <w:rFonts w:ascii="Calibri" w:hAnsi="Calibri"/>
              </w:rPr>
            </w:pPr>
          </w:p>
        </w:tc>
        <w:tc>
          <w:tcPr>
            <w:tcW w:w="1134" w:type="dxa"/>
          </w:tcPr>
          <w:p w14:paraId="474AA777" w14:textId="2D7A2B86" w:rsidR="00A40178" w:rsidRPr="000B27BB" w:rsidRDefault="0052028C" w:rsidP="000B27BB">
            <w:pPr>
              <w:spacing w:after="200" w:line="264" w:lineRule="auto"/>
              <w:contextualSpacing/>
              <w:rPr>
                <w:rFonts w:ascii="Calibri" w:hAnsi="Calibri"/>
              </w:rPr>
            </w:pPr>
            <w:r>
              <w:rPr>
                <w:rFonts w:ascii="Calibri" w:hAnsi="Calibri"/>
              </w:rPr>
              <w:t>Apr 18</w:t>
            </w:r>
          </w:p>
        </w:tc>
        <w:tc>
          <w:tcPr>
            <w:tcW w:w="1843" w:type="dxa"/>
          </w:tcPr>
          <w:p w14:paraId="160753B4" w14:textId="77777777" w:rsidR="00A40178" w:rsidRPr="000B27BB" w:rsidRDefault="00A40178" w:rsidP="000B27BB">
            <w:pPr>
              <w:spacing w:after="200" w:line="264" w:lineRule="auto"/>
              <w:contextualSpacing/>
              <w:rPr>
                <w:rFonts w:ascii="Calibri" w:hAnsi="Calibri"/>
              </w:rPr>
            </w:pPr>
          </w:p>
        </w:tc>
        <w:tc>
          <w:tcPr>
            <w:tcW w:w="2126" w:type="dxa"/>
          </w:tcPr>
          <w:p w14:paraId="3222E134" w14:textId="77777777" w:rsidR="00A40178" w:rsidRPr="000B27BB" w:rsidRDefault="00A40178" w:rsidP="000B27BB">
            <w:pPr>
              <w:spacing w:after="200" w:line="264" w:lineRule="auto"/>
              <w:contextualSpacing/>
              <w:rPr>
                <w:rFonts w:ascii="Calibri" w:hAnsi="Calibri"/>
              </w:rPr>
            </w:pPr>
          </w:p>
        </w:tc>
        <w:tc>
          <w:tcPr>
            <w:tcW w:w="3951" w:type="dxa"/>
          </w:tcPr>
          <w:p w14:paraId="7F26664C" w14:textId="54F37A8A" w:rsidR="00A40178" w:rsidRPr="000B27BB" w:rsidRDefault="0052028C" w:rsidP="000B27BB">
            <w:pPr>
              <w:spacing w:after="200" w:line="264" w:lineRule="auto"/>
              <w:contextualSpacing/>
              <w:rPr>
                <w:rFonts w:ascii="Calibri" w:hAnsi="Calibri"/>
              </w:rPr>
            </w:pPr>
            <w:r>
              <w:rPr>
                <w:rFonts w:ascii="Calibri" w:hAnsi="Calibri"/>
              </w:rPr>
              <w:t>Reviewed by JL</w:t>
            </w:r>
          </w:p>
        </w:tc>
      </w:tr>
    </w:tbl>
    <w:p w14:paraId="62F07FB8" w14:textId="3C96479E" w:rsidR="006031B1" w:rsidRPr="000B27BB" w:rsidRDefault="006031B1" w:rsidP="000B27BB">
      <w:pPr>
        <w:contextualSpacing/>
        <w:rPr>
          <w:rFonts w:ascii="Calibri" w:hAnsi="Calibri" w:cs="Calibri"/>
        </w:rPr>
      </w:pPr>
    </w:p>
    <w:p w14:paraId="7968FC3B" w14:textId="40D19A85" w:rsidR="000B27BB" w:rsidRDefault="000B27BB">
      <w:pPr>
        <w:rPr>
          <w:rFonts w:ascii="Calibri" w:hAnsi="Calibri" w:cs="Calibri"/>
        </w:rPr>
      </w:pPr>
      <w:r>
        <w:rPr>
          <w:rFonts w:ascii="Calibri" w:hAnsi="Calibri" w:cs="Calibri"/>
        </w:rPr>
        <w:br w:type="page"/>
      </w:r>
    </w:p>
    <w:p w14:paraId="7DF9729B" w14:textId="699F637B" w:rsidR="006031B1" w:rsidRPr="000B27BB" w:rsidRDefault="006031B1" w:rsidP="000B27BB">
      <w:pPr>
        <w:pStyle w:val="Heading1"/>
        <w:contextualSpacing/>
        <w:rPr>
          <w:rFonts w:ascii="Calibri" w:hAnsi="Calibri"/>
        </w:rPr>
      </w:pPr>
      <w:r w:rsidRPr="000B27BB">
        <w:rPr>
          <w:rFonts w:ascii="Calibri" w:hAnsi="Calibri"/>
        </w:rPr>
        <w:lastRenderedPageBreak/>
        <w:t>Aim</w:t>
      </w:r>
    </w:p>
    <w:p w14:paraId="74E4CA33" w14:textId="140586C5"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The adoption of formal policy and resulting good practice for the sharing of information with key stakeholders will lead to confidence in </w:t>
      </w:r>
      <w:r w:rsidR="0040688C" w:rsidRPr="000B27BB">
        <w:rPr>
          <w:rFonts w:ascii="Calibri" w:hAnsi="Calibri" w:cs="Calibri"/>
          <w:sz w:val="24"/>
          <w:szCs w:val="24"/>
        </w:rPr>
        <w:t>Castleman Healthcare Ltd</w:t>
      </w:r>
      <w:r w:rsidRPr="000B27BB">
        <w:rPr>
          <w:rFonts w:ascii="Calibri" w:hAnsi="Calibri" w:cs="Calibri"/>
          <w:sz w:val="24"/>
          <w:szCs w:val="24"/>
        </w:rPr>
        <w:t xml:space="preserve">, its commissioning bodies and the general public. Effective information exchange is the key to the safe delivery of clinical care. Sharing information meets the requirements of statutory and local initiatives and is vital for </w:t>
      </w:r>
      <w:r w:rsidR="006E5AFF" w:rsidRPr="000B27BB">
        <w:rPr>
          <w:rFonts w:ascii="Calibri" w:hAnsi="Calibri" w:cs="Calibri"/>
          <w:sz w:val="24"/>
          <w:szCs w:val="24"/>
        </w:rPr>
        <w:t>coordinating</w:t>
      </w:r>
      <w:r w:rsidRPr="000B27BB">
        <w:rPr>
          <w:rFonts w:ascii="Calibri" w:hAnsi="Calibri" w:cs="Calibri"/>
          <w:sz w:val="24"/>
          <w:szCs w:val="24"/>
        </w:rPr>
        <w:t xml:space="preserve"> services between partner </w:t>
      </w:r>
      <w:proofErr w:type="spellStart"/>
      <w:r w:rsidRPr="000B27BB">
        <w:rPr>
          <w:rFonts w:ascii="Calibri" w:hAnsi="Calibri" w:cs="Calibri"/>
          <w:sz w:val="24"/>
          <w:szCs w:val="24"/>
        </w:rPr>
        <w:t>organisations</w:t>
      </w:r>
      <w:proofErr w:type="spellEnd"/>
      <w:r w:rsidRPr="000B27BB">
        <w:rPr>
          <w:rFonts w:ascii="Calibri" w:hAnsi="Calibri" w:cs="Calibri"/>
          <w:sz w:val="24"/>
          <w:szCs w:val="24"/>
        </w:rPr>
        <w:t>. Appropriate information sharing builds trust and good relationships between partners.</w:t>
      </w:r>
    </w:p>
    <w:p w14:paraId="5B9671B9" w14:textId="77777777" w:rsidR="000B27BB" w:rsidRPr="000B27BB" w:rsidRDefault="000B27BB" w:rsidP="000B27BB">
      <w:pPr>
        <w:contextualSpacing/>
        <w:rPr>
          <w:rFonts w:ascii="Calibri" w:hAnsi="Calibri" w:cs="Calibri"/>
          <w:sz w:val="24"/>
          <w:szCs w:val="24"/>
        </w:rPr>
      </w:pPr>
    </w:p>
    <w:p w14:paraId="082DE9E3" w14:textId="034CDFC8"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Responsible information sharing brings together services that reveal a more accurate picture of an individual’s health. The streamlining of information sharing enables care to be delivered quickly, efficiently, safely and accurately. It also enables commissioners and providers to get a greater level of understanding about how services are operating across the borough. Overall, this improves analysis, </w:t>
      </w:r>
      <w:r w:rsidR="0040688C" w:rsidRPr="000B27BB">
        <w:rPr>
          <w:rFonts w:ascii="Calibri" w:hAnsi="Calibri" w:cs="Calibri"/>
          <w:sz w:val="24"/>
          <w:szCs w:val="24"/>
        </w:rPr>
        <w:t>decision-making</w:t>
      </w:r>
      <w:r w:rsidRPr="000B27BB">
        <w:rPr>
          <w:rFonts w:ascii="Calibri" w:hAnsi="Calibri" w:cs="Calibri"/>
          <w:sz w:val="24"/>
          <w:szCs w:val="24"/>
        </w:rPr>
        <w:t>, resource allocation and better use of public funds.</w:t>
      </w:r>
    </w:p>
    <w:p w14:paraId="6472578B" w14:textId="77777777"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Barriers to effective information sharing include;</w:t>
      </w:r>
    </w:p>
    <w:p w14:paraId="1195648A" w14:textId="77777777"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Misconceived ideas, particularly data protection legislation</w:t>
      </w:r>
    </w:p>
    <w:p w14:paraId="2B3EAAF8" w14:textId="77777777"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guidance and plain language explanations</w:t>
      </w:r>
    </w:p>
    <w:p w14:paraId="1E31C5B6" w14:textId="77777777"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An absence of formal protocols between partners</w:t>
      </w:r>
    </w:p>
    <w:p w14:paraId="767A93E2" w14:textId="77777777"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tendency to take an overly cautious approach</w:t>
      </w:r>
    </w:p>
    <w:p w14:paraId="57882ADA" w14:textId="77777777"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awareness of the benefits</w:t>
      </w:r>
    </w:p>
    <w:p w14:paraId="1DE0E0D0" w14:textId="6164B880"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will ask for and keep information, so that patients receive correct care and treatment when needed and for as long as they need it.</w:t>
      </w:r>
    </w:p>
    <w:p w14:paraId="571D4974" w14:textId="53DECF82"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also needs to share information to ensure;</w:t>
      </w:r>
    </w:p>
    <w:p w14:paraId="1997C255" w14:textId="77777777"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all services meet patients’ needs, now and in the future</w:t>
      </w:r>
    </w:p>
    <w:p w14:paraId="6E06EC86" w14:textId="77777777"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payment terms are fulfilled correctly</w:t>
      </w:r>
    </w:p>
    <w:p w14:paraId="1AACD2FC" w14:textId="77777777"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 xml:space="preserve">That cross – </w:t>
      </w:r>
      <w:proofErr w:type="spellStart"/>
      <w:r w:rsidRPr="000B27BB">
        <w:rPr>
          <w:rFonts w:ascii="Calibri" w:hAnsi="Calibri" w:cs="Calibri"/>
          <w:sz w:val="24"/>
          <w:szCs w:val="24"/>
        </w:rPr>
        <w:t>organisation</w:t>
      </w:r>
      <w:proofErr w:type="spellEnd"/>
      <w:r w:rsidRPr="000B27BB">
        <w:rPr>
          <w:rFonts w:ascii="Calibri" w:hAnsi="Calibri" w:cs="Calibri"/>
          <w:sz w:val="24"/>
          <w:szCs w:val="24"/>
        </w:rPr>
        <w:t xml:space="preserve"> pathways can be reviewed and high standards maintained</w:t>
      </w:r>
    </w:p>
    <w:p w14:paraId="7326BC39" w14:textId="77777777" w:rsidR="006031B1"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Recognition of staff training requirements and educational needs</w:t>
      </w:r>
    </w:p>
    <w:p w14:paraId="152734B6" w14:textId="77777777" w:rsidR="000B27BB" w:rsidRPr="000B27BB" w:rsidRDefault="000B27BB" w:rsidP="000B27BB">
      <w:pPr>
        <w:pStyle w:val="ListParagraph"/>
        <w:spacing w:before="0"/>
        <w:rPr>
          <w:rFonts w:ascii="Calibri" w:hAnsi="Calibri" w:cs="Calibri"/>
          <w:sz w:val="24"/>
          <w:szCs w:val="24"/>
        </w:rPr>
      </w:pPr>
    </w:p>
    <w:p w14:paraId="09B8388A" w14:textId="77777777" w:rsidR="006031B1" w:rsidRPr="000B27BB" w:rsidRDefault="006031B1" w:rsidP="000B27BB">
      <w:pPr>
        <w:pStyle w:val="Heading1"/>
        <w:contextualSpacing/>
        <w:rPr>
          <w:rFonts w:ascii="Calibri" w:hAnsi="Calibri"/>
        </w:rPr>
      </w:pPr>
      <w:r w:rsidRPr="000B27BB">
        <w:rPr>
          <w:rFonts w:ascii="Calibri" w:hAnsi="Calibri"/>
        </w:rPr>
        <w:t>Procedure</w:t>
      </w:r>
    </w:p>
    <w:p w14:paraId="7B5DCEBD" w14:textId="77777777" w:rsidR="006031B1" w:rsidRPr="000B27BB" w:rsidRDefault="006031B1" w:rsidP="000B27BB">
      <w:pPr>
        <w:pStyle w:val="ListParagraph"/>
        <w:ind w:left="0"/>
        <w:rPr>
          <w:rFonts w:ascii="Calibri" w:hAnsi="Calibri" w:cs="Calibri"/>
          <w:sz w:val="24"/>
          <w:szCs w:val="24"/>
        </w:rPr>
      </w:pPr>
    </w:p>
    <w:p w14:paraId="58D11140" w14:textId="4F81198D" w:rsidR="006031B1" w:rsidRPr="000B27BB" w:rsidRDefault="006031B1" w:rsidP="000B27BB">
      <w:pPr>
        <w:pStyle w:val="ListParagraph"/>
        <w:ind w:left="0"/>
        <w:rPr>
          <w:rFonts w:ascii="Calibri" w:hAnsi="Calibri" w:cs="Calibri"/>
          <w:sz w:val="24"/>
          <w:szCs w:val="24"/>
        </w:rPr>
      </w:pPr>
      <w:r w:rsidRPr="000B27BB">
        <w:rPr>
          <w:rFonts w:ascii="Calibri" w:hAnsi="Calibri" w:cs="Calibri"/>
          <w:sz w:val="24"/>
          <w:szCs w:val="24"/>
        </w:rPr>
        <w:t xml:space="preserve">Each time </w:t>
      </w:r>
      <w:r w:rsidR="0040688C" w:rsidRPr="000B27BB">
        <w:rPr>
          <w:rFonts w:ascii="Calibri" w:hAnsi="Calibri" w:cs="Calibri"/>
          <w:sz w:val="24"/>
          <w:szCs w:val="24"/>
        </w:rPr>
        <w:t>Castleman Healthcare Ltd</w:t>
      </w:r>
      <w:r w:rsidRPr="000B27BB">
        <w:rPr>
          <w:rFonts w:ascii="Calibri" w:hAnsi="Calibri" w:cs="Calibri"/>
          <w:sz w:val="24"/>
          <w:szCs w:val="24"/>
        </w:rPr>
        <w:t xml:space="preserve"> is asked or wishes to share information, the following thought process is undertaken (as taken from the </w:t>
      </w:r>
      <w:r w:rsidRPr="000B27BB">
        <w:rPr>
          <w:rFonts w:ascii="Calibri" w:hAnsi="Calibri" w:cs="Calibri"/>
          <w:i/>
          <w:sz w:val="24"/>
          <w:szCs w:val="24"/>
        </w:rPr>
        <w:t>Information Sharing: Practitioners’ guide</w:t>
      </w:r>
      <w:r w:rsidR="00936A0A">
        <w:rPr>
          <w:rFonts w:ascii="Calibri" w:hAnsi="Calibri" w:cs="Calibri"/>
          <w:sz w:val="24"/>
          <w:szCs w:val="24"/>
        </w:rPr>
        <w:t>, HM Government, 2015</w:t>
      </w:r>
      <w:r w:rsidRPr="000B27BB">
        <w:rPr>
          <w:rFonts w:ascii="Calibri" w:hAnsi="Calibri" w:cs="Calibri"/>
          <w:sz w:val="24"/>
          <w:szCs w:val="24"/>
        </w:rPr>
        <w:t>)</w:t>
      </w:r>
    </w:p>
    <w:p w14:paraId="0C6B4291" w14:textId="77777777" w:rsidR="006031B1" w:rsidRPr="000B27BB" w:rsidRDefault="006031B1" w:rsidP="000B27BB">
      <w:pPr>
        <w:pStyle w:val="ListParagraph"/>
        <w:ind w:left="0"/>
        <w:rPr>
          <w:rFonts w:ascii="Calibri" w:hAnsi="Calibri" w:cs="Calibri"/>
          <w:sz w:val="24"/>
          <w:szCs w:val="24"/>
        </w:rPr>
      </w:pPr>
    </w:p>
    <w:p w14:paraId="439C9207" w14:textId="77777777" w:rsidR="006031B1" w:rsidRPr="000B27BB" w:rsidRDefault="006031B1" w:rsidP="000B27BB">
      <w:pPr>
        <w:pStyle w:val="ListParagraph"/>
        <w:ind w:left="0"/>
        <w:rPr>
          <w:rFonts w:ascii="Calibri" w:hAnsi="Calibri" w:cs="Calibri"/>
          <w:sz w:val="24"/>
          <w:szCs w:val="24"/>
        </w:rPr>
      </w:pPr>
    </w:p>
    <w:p w14:paraId="689ADF99" w14:textId="77777777" w:rsidR="006031B1" w:rsidRPr="000B27BB" w:rsidRDefault="006031B1" w:rsidP="000B27BB">
      <w:pPr>
        <w:pStyle w:val="ListParagraph"/>
        <w:ind w:left="0"/>
        <w:rPr>
          <w:rFonts w:ascii="Calibri" w:hAnsi="Calibri" w:cs="Calibri"/>
          <w:sz w:val="24"/>
          <w:szCs w:val="24"/>
        </w:rPr>
      </w:pPr>
    </w:p>
    <w:p w14:paraId="1880CE3F" w14:textId="5D184ACC" w:rsidR="006031B1" w:rsidRPr="000B27BB" w:rsidRDefault="00936A0A" w:rsidP="000B27BB">
      <w:pPr>
        <w:pStyle w:val="ListParagraph"/>
        <w:ind w:left="0"/>
        <w:rPr>
          <w:rFonts w:ascii="Calibri" w:hAnsi="Calibri" w:cs="Calibri"/>
          <w:sz w:val="24"/>
          <w:szCs w:val="24"/>
        </w:rPr>
      </w:pPr>
      <w:r>
        <w:rPr>
          <w:noProof/>
          <w:lang w:val="en-GB" w:eastAsia="en-GB"/>
        </w:rPr>
        <w:lastRenderedPageBreak/>
        <w:drawing>
          <wp:anchor distT="0" distB="0" distL="0" distR="0" simplePos="0" relativeHeight="251659264" behindDoc="0" locked="0" layoutInCell="1" allowOverlap="1" wp14:anchorId="07FA6E05" wp14:editId="2D5B7D99">
            <wp:simplePos x="0" y="0"/>
            <wp:positionH relativeFrom="page">
              <wp:posOffset>914400</wp:posOffset>
            </wp:positionH>
            <wp:positionV relativeFrom="paragraph">
              <wp:posOffset>206375</wp:posOffset>
            </wp:positionV>
            <wp:extent cx="5125887" cy="7449502"/>
            <wp:effectExtent l="0" t="0" r="0" b="0"/>
            <wp:wrapTopAndBottom/>
            <wp:docPr id="3" name="image2.png" descr="The flowchart asks a series of questions:  Is there a clear and legitimate purpose for sharing information? • Yes – see next question • No – do not share   Does the information enable an individual to be identified? • Yes – see next question • No – you can share but should consider how   Is the information confidential? • Yes – see next question • No – you can share but should consider how   Do you have consent? • Yes – you can share but should consider how  • No – see next question    Is there another reason to share information such as to fulfil a public function or to protect the vital interests of the information subject? • Yes – you can share but should consider how  • No – do not share  How to share: • Identify how much information to share • Distinguish fact from opinion • Ensure that you are giving the right information to the right individual • Ensure where possible that you are sharing the information securely • Inform the individual that the information has been shared if they were not aware of this, as long as this would not create or increase risk of harm  All information sharing decisions and reasons must be recorded in line with your organisation or local procedures.  If at any stage you are unsure about how or when to share information, you should seek advice and ensure that the outcome of the discussion is recorded. If there are concerns that a child is suffering or likely to suffer harm, then follow the relevant procedures without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125887" cy="7449502"/>
                    </a:xfrm>
                    <a:prstGeom prst="rect">
                      <a:avLst/>
                    </a:prstGeom>
                  </pic:spPr>
                </pic:pic>
              </a:graphicData>
            </a:graphic>
          </wp:anchor>
        </w:drawing>
      </w:r>
    </w:p>
    <w:p w14:paraId="2074FC50" w14:textId="77777777" w:rsidR="006031B1" w:rsidRPr="000B27BB" w:rsidRDefault="006031B1" w:rsidP="000B27BB">
      <w:pPr>
        <w:pStyle w:val="ListParagraph"/>
        <w:ind w:left="0"/>
        <w:rPr>
          <w:rFonts w:ascii="Calibri" w:hAnsi="Calibri" w:cs="Calibri"/>
          <w:sz w:val="24"/>
          <w:szCs w:val="24"/>
        </w:rPr>
      </w:pPr>
    </w:p>
    <w:p w14:paraId="739A30AA" w14:textId="77777777" w:rsidR="006031B1" w:rsidRPr="000B27BB" w:rsidRDefault="006031B1" w:rsidP="000B27BB">
      <w:pPr>
        <w:pStyle w:val="Heading1"/>
        <w:contextualSpacing/>
        <w:rPr>
          <w:rFonts w:ascii="Calibri" w:hAnsi="Calibri"/>
        </w:rPr>
      </w:pPr>
      <w:r w:rsidRPr="000B27BB">
        <w:rPr>
          <w:rFonts w:ascii="Calibri" w:hAnsi="Calibri"/>
        </w:rPr>
        <w:lastRenderedPageBreak/>
        <w:t>Information Sharing relationships</w:t>
      </w:r>
    </w:p>
    <w:p w14:paraId="7D49E71C" w14:textId="6AFCDC91"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Due to the nature of business, there is only a few occasions where </w:t>
      </w:r>
      <w:r w:rsidR="0040688C" w:rsidRPr="000B27BB">
        <w:rPr>
          <w:rFonts w:ascii="Calibri" w:hAnsi="Calibri" w:cs="Calibri"/>
          <w:sz w:val="24"/>
          <w:szCs w:val="24"/>
        </w:rPr>
        <w:t>Castleman Healthcare Ltd</w:t>
      </w:r>
      <w:r w:rsidRPr="000B27BB">
        <w:rPr>
          <w:rFonts w:ascii="Calibri" w:hAnsi="Calibri" w:cs="Calibri"/>
          <w:sz w:val="24"/>
          <w:szCs w:val="24"/>
        </w:rPr>
        <w:t xml:space="preserve"> has a need to share or request information from other bodies. The movement of person identifiable information is documented on the internal patient information flow chart, including Safe Haven locations. For details on how to safely share information with NHS or other </w:t>
      </w:r>
      <w:proofErr w:type="spellStart"/>
      <w:r w:rsidRPr="000B27BB">
        <w:rPr>
          <w:rFonts w:ascii="Calibri" w:hAnsi="Calibri" w:cs="Calibri"/>
          <w:sz w:val="24"/>
          <w:szCs w:val="24"/>
        </w:rPr>
        <w:t>organisations</w:t>
      </w:r>
      <w:proofErr w:type="spellEnd"/>
      <w:r w:rsidRPr="000B27BB">
        <w:rPr>
          <w:rFonts w:ascii="Calibri" w:hAnsi="Calibri" w:cs="Calibri"/>
          <w:sz w:val="24"/>
          <w:szCs w:val="24"/>
        </w:rPr>
        <w:t xml:space="preserve">, please refer to the Information </w:t>
      </w:r>
      <w:r w:rsidR="00936A0A">
        <w:rPr>
          <w:rFonts w:ascii="Calibri" w:hAnsi="Calibri" w:cs="Calibri"/>
          <w:sz w:val="24"/>
          <w:szCs w:val="24"/>
        </w:rPr>
        <w:t>Governance</w:t>
      </w:r>
      <w:r w:rsidRPr="000B27BB">
        <w:rPr>
          <w:rFonts w:ascii="Calibri" w:hAnsi="Calibri" w:cs="Calibri"/>
          <w:sz w:val="24"/>
          <w:szCs w:val="24"/>
        </w:rPr>
        <w:t xml:space="preserve"> Policy. </w:t>
      </w:r>
    </w:p>
    <w:p w14:paraId="01A68FF4" w14:textId="77777777" w:rsidR="00936A0A" w:rsidRPr="000B27BB" w:rsidRDefault="00936A0A" w:rsidP="000B27BB">
      <w:pPr>
        <w:contextualSpacing/>
        <w:rPr>
          <w:rFonts w:ascii="Calibri" w:hAnsi="Calibri" w:cs="Calibri"/>
          <w:sz w:val="24"/>
          <w:szCs w:val="24"/>
        </w:rPr>
      </w:pPr>
    </w:p>
    <w:p w14:paraId="17341908" w14:textId="3B343F74"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Other than for legal purposes, </w:t>
      </w:r>
      <w:r w:rsidR="0040688C" w:rsidRPr="000B27BB">
        <w:rPr>
          <w:rFonts w:ascii="Calibri" w:hAnsi="Calibri" w:cs="Calibri"/>
          <w:sz w:val="24"/>
          <w:szCs w:val="24"/>
        </w:rPr>
        <w:t>Castleman Healthcare Ltd</w:t>
      </w:r>
      <w:r w:rsidRPr="000B27BB">
        <w:rPr>
          <w:rFonts w:ascii="Calibri" w:hAnsi="Calibri" w:cs="Calibri"/>
          <w:sz w:val="24"/>
          <w:szCs w:val="24"/>
        </w:rPr>
        <w:t xml:space="preserve"> does not share person identifiable data. </w:t>
      </w:r>
    </w:p>
    <w:p w14:paraId="2A9602AC" w14:textId="77777777" w:rsidR="006031B1" w:rsidRPr="000B27BB" w:rsidRDefault="006031B1" w:rsidP="000B27BB">
      <w:pPr>
        <w:contextualSpacing/>
        <w:rPr>
          <w:rFonts w:ascii="Calibri" w:hAnsi="Calibri" w:cs="Calibri"/>
        </w:rPr>
      </w:pPr>
    </w:p>
    <w:p w14:paraId="57F153F4" w14:textId="77777777" w:rsidR="006031B1" w:rsidRPr="000B27BB" w:rsidRDefault="006031B1" w:rsidP="000B27BB">
      <w:pPr>
        <w:contextualSpacing/>
        <w:rPr>
          <w:rFonts w:ascii="Calibri" w:hAnsi="Calibri" w:cs="Calibri"/>
        </w:rPr>
      </w:pPr>
    </w:p>
    <w:p w14:paraId="602E9ED1" w14:textId="77777777" w:rsidR="006031B1" w:rsidRPr="000B27BB" w:rsidRDefault="006031B1" w:rsidP="000B27BB">
      <w:pPr>
        <w:contextualSpacing/>
        <w:rPr>
          <w:rFonts w:ascii="Calibri" w:hAnsi="Calibri" w:cs="Calibri"/>
        </w:rPr>
      </w:pPr>
    </w:p>
    <w:p w14:paraId="778F9655" w14:textId="77777777" w:rsidR="006031B1" w:rsidRPr="000B27BB" w:rsidRDefault="006031B1" w:rsidP="000B27BB">
      <w:pPr>
        <w:contextualSpacing/>
        <w:rPr>
          <w:rFonts w:ascii="Calibri" w:hAnsi="Calibri" w:cs="Calibri"/>
        </w:rPr>
      </w:pPr>
    </w:p>
    <w:p w14:paraId="5A8735FC" w14:textId="77777777" w:rsidR="006031B1" w:rsidRPr="000B27BB" w:rsidRDefault="006031B1" w:rsidP="000B27BB">
      <w:pPr>
        <w:contextualSpacing/>
        <w:rPr>
          <w:rFonts w:ascii="Calibri" w:hAnsi="Calibri" w:cs="Calibri"/>
        </w:rPr>
      </w:pPr>
    </w:p>
    <w:p w14:paraId="102EEF2C" w14:textId="77777777" w:rsidR="006031B1" w:rsidRPr="000B27BB" w:rsidRDefault="006031B1" w:rsidP="000B27BB">
      <w:pPr>
        <w:contextualSpacing/>
        <w:rPr>
          <w:rFonts w:ascii="Calibri" w:hAnsi="Calibri" w:cs="Calibri"/>
        </w:rPr>
      </w:pPr>
    </w:p>
    <w:sectPr w:rsidR="006031B1" w:rsidRPr="000B27BB">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E472" w14:textId="77777777" w:rsidR="00430DDF" w:rsidRDefault="00430DDF">
      <w:pPr>
        <w:spacing w:after="0" w:line="240" w:lineRule="auto"/>
      </w:pPr>
      <w:r>
        <w:separator/>
      </w:r>
    </w:p>
  </w:endnote>
  <w:endnote w:type="continuationSeparator" w:id="0">
    <w:p w14:paraId="45DB3FE4" w14:textId="77777777" w:rsidR="00430DDF" w:rsidRDefault="0043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AED572F" w:rsidR="00196599" w:rsidRDefault="006E5AFF">
            <w:pPr>
              <w:pStyle w:val="Footer"/>
              <w:jc w:val="center"/>
            </w:pPr>
            <w:r>
              <w:t xml:space="preserve"> </w:t>
            </w:r>
            <w:r w:rsidR="00196599">
              <w:t xml:space="preserve"> </w:t>
            </w:r>
            <w:r w:rsidR="0040688C">
              <w:t xml:space="preserve">Information Sharing Policy </w:t>
            </w:r>
            <w:r>
              <w:t>Sept</w:t>
            </w:r>
            <w:r w:rsidR="0040688C">
              <w:t xml:space="preserve"> 16</w:t>
            </w:r>
            <w:r>
              <w:t xml:space="preserve"> - 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E33250">
              <w:rPr>
                <w:b/>
                <w:bCs/>
                <w:noProof/>
              </w:rPr>
              <w:t>4</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E33250">
              <w:rPr>
                <w:b/>
                <w:bCs/>
                <w:noProof/>
              </w:rPr>
              <w:t>4</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82FF" w14:textId="77777777" w:rsidR="00430DDF" w:rsidRDefault="00430DDF">
      <w:pPr>
        <w:spacing w:after="0" w:line="240" w:lineRule="auto"/>
      </w:pPr>
      <w:r>
        <w:separator/>
      </w:r>
    </w:p>
  </w:footnote>
  <w:footnote w:type="continuationSeparator" w:id="0">
    <w:p w14:paraId="40D83926" w14:textId="77777777" w:rsidR="00430DDF" w:rsidRDefault="0043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45796F1E"/>
    <w:multiLevelType w:val="multilevel"/>
    <w:tmpl w:val="D4F67B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B4C01"/>
    <w:multiLevelType w:val="hybridMultilevel"/>
    <w:tmpl w:val="22A8DBF2"/>
    <w:lvl w:ilvl="0" w:tplc="AE6E61B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
  </w:num>
  <w:num w:numId="3">
    <w:abstractNumId w:val="26"/>
  </w:num>
  <w:num w:numId="4">
    <w:abstractNumId w:val="33"/>
  </w:num>
  <w:num w:numId="5">
    <w:abstractNumId w:val="10"/>
  </w:num>
  <w:num w:numId="6">
    <w:abstractNumId w:val="0"/>
  </w:num>
  <w:num w:numId="7">
    <w:abstractNumId w:val="35"/>
  </w:num>
  <w:num w:numId="8">
    <w:abstractNumId w:val="2"/>
  </w:num>
  <w:num w:numId="9">
    <w:abstractNumId w:val="18"/>
  </w:num>
  <w:num w:numId="10">
    <w:abstractNumId w:val="21"/>
  </w:num>
  <w:num w:numId="11">
    <w:abstractNumId w:val="17"/>
  </w:num>
  <w:num w:numId="12">
    <w:abstractNumId w:val="4"/>
  </w:num>
  <w:num w:numId="13">
    <w:abstractNumId w:val="12"/>
  </w:num>
  <w:num w:numId="14">
    <w:abstractNumId w:val="8"/>
  </w:num>
  <w:num w:numId="15">
    <w:abstractNumId w:val="14"/>
  </w:num>
  <w:num w:numId="16">
    <w:abstractNumId w:val="22"/>
  </w:num>
  <w:num w:numId="17">
    <w:abstractNumId w:val="20"/>
  </w:num>
  <w:num w:numId="18">
    <w:abstractNumId w:val="6"/>
  </w:num>
  <w:num w:numId="19">
    <w:abstractNumId w:val="9"/>
  </w:num>
  <w:num w:numId="20">
    <w:abstractNumId w:val="31"/>
  </w:num>
  <w:num w:numId="21">
    <w:abstractNumId w:val="11"/>
  </w:num>
  <w:num w:numId="22">
    <w:abstractNumId w:val="28"/>
  </w:num>
  <w:num w:numId="23">
    <w:abstractNumId w:val="13"/>
  </w:num>
  <w:num w:numId="24">
    <w:abstractNumId w:val="25"/>
  </w:num>
  <w:num w:numId="25">
    <w:abstractNumId w:val="34"/>
  </w:num>
  <w:num w:numId="26">
    <w:abstractNumId w:val="29"/>
  </w:num>
  <w:num w:numId="27">
    <w:abstractNumId w:val="3"/>
  </w:num>
  <w:num w:numId="28">
    <w:abstractNumId w:val="15"/>
  </w:num>
  <w:num w:numId="29">
    <w:abstractNumId w:val="24"/>
  </w:num>
  <w:num w:numId="30">
    <w:abstractNumId w:val="38"/>
  </w:num>
  <w:num w:numId="31">
    <w:abstractNumId w:val="23"/>
  </w:num>
  <w:num w:numId="32">
    <w:abstractNumId w:val="32"/>
  </w:num>
  <w:num w:numId="33">
    <w:abstractNumId w:val="37"/>
  </w:num>
  <w:num w:numId="34">
    <w:abstractNumId w:val="1"/>
  </w:num>
  <w:num w:numId="35">
    <w:abstractNumId w:val="7"/>
  </w:num>
  <w:num w:numId="36">
    <w:abstractNumId w:val="36"/>
  </w:num>
  <w:num w:numId="37">
    <w:abstractNumId w:val="19"/>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B27BB"/>
    <w:rsid w:val="00196599"/>
    <w:rsid w:val="001D7BDE"/>
    <w:rsid w:val="0040688C"/>
    <w:rsid w:val="00430DDF"/>
    <w:rsid w:val="00435765"/>
    <w:rsid w:val="005079B5"/>
    <w:rsid w:val="0052028C"/>
    <w:rsid w:val="006031B1"/>
    <w:rsid w:val="006C0EA0"/>
    <w:rsid w:val="006E5AFF"/>
    <w:rsid w:val="00936A0A"/>
    <w:rsid w:val="009A2A0E"/>
    <w:rsid w:val="009D14A5"/>
    <w:rsid w:val="00A40178"/>
    <w:rsid w:val="00AC41D4"/>
    <w:rsid w:val="00C15FAF"/>
    <w:rsid w:val="00CC1D6D"/>
    <w:rsid w:val="00DC3D9A"/>
    <w:rsid w:val="00E33250"/>
    <w:rsid w:val="00E9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40688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8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40688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184239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4C511CD-5587-40EF-B1D2-64EB0A56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2018-06-05T09:53:00Z</dcterms:created>
  <dcterms:modified xsi:type="dcterms:W3CDTF">2018-06-05T09:53:00Z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